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LHafenV (Brandenburg) — Allgemeines Verhalten im Hafengebiet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Hafen hat sich jeder so zu verhalten, daß die</w:t>
      </w:r>
    </w:p>
    <w:p>
      <w:r>
        <w:t xml:space="preserve">Sicherheit und der ordnungsgemäße Betrieb des Hafens und der</w:t>
      </w:r>
    </w:p>
    <w:p>
      <w:r>
        <w:t xml:space="preserve">Hafenanlagen sowie der Schutz der Umwelt nicht beeinträchtigt werden und</w:t>
      </w:r>
    </w:p>
    <w:p>
      <w:r>
        <w:t xml:space="preserve">daß niemand geschädigt, gefährdet oder mehr als nach den</w:t>
      </w:r>
    </w:p>
    <w:p>
      <w:r>
        <w:t xml:space="preserve">Umständen unvermeidbar behindert oder belästigt wird.</w:t>
      </w:r>
    </w:p>
    <w:p>
      <w:r>
        <w:rPr>
          <w:color w:val="555555"/>
          <w:sz w:val="17"/>
        </w:rPr>
        <w:t xml:space="preserve">Zitiervorschlag: § 6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