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LHafenV (Brandenburg) — Befugnisse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obere Verkehrsbehörde kann von den</w:t>
      </w:r>
    </w:p>
    <w:p>
      <w:r>
        <w:t xml:space="preserve">Fahrzeugführern oder den von ihnen Beauftragten Auskunft verlangen</w:t>
      </w:r>
    </w:p>
    <w:p>
      <w:r>
        <w:t xml:space="preserve">über Bauart, Ausrüstung und Ladung ihrer Fahrzeuge sowie über</w:t>
      </w:r>
    </w:p>
    <w:p>
      <w:r>
        <w:t xml:space="preserve">die Besatzung der Schiffe. Auf Verlangen hat der Fahrzeugführer Einblick</w:t>
      </w:r>
    </w:p>
    <w:p>
      <w:r>
        <w:t xml:space="preserve">in die Schiffs-, Lade- und Beförderungspapiere zu gewähren.</w:t>
      </w:r>
    </w:p>
    <w:p>
      <w:r>
        <w:t xml:space="preserve">(2) Die Dienstkräfte der oberen Verkehrsbehörde sind</w:t>
      </w:r>
    </w:p>
    <w:p>
      <w:r>
        <w:t xml:space="preserve">zur Abwehr von Gefahren für die öffentliche Sicherheit oder Ordnung</w:t>
      </w:r>
    </w:p>
    <w:p>
      <w:r>
        <w:t xml:space="preserve">berechtigt, Fahrzeuge zu betreten, zu besichtigen und auf Fahrzeugen im</w:t>
      </w:r>
    </w:p>
    <w:p>
      <w:r>
        <w:t xml:space="preserve">Hafengebiet mitzufahren.</w:t>
      </w:r>
    </w:p>
    <w:p>
      <w:r>
        <w:t xml:space="preserve">(3) Die obere Verkehrsbehörde ist ermächtigt, zur</w:t>
      </w:r>
    </w:p>
    <w:p>
      <w:r>
        <w:t xml:space="preserve">Durchführung dieser Verordnung Weisungen gegenüber den</w:t>
      </w:r>
    </w:p>
    <w:p>
      <w:r>
        <w:t xml:space="preserve">Hafenbetreibern zu erlassen, wenn diese für die Sicherheit oder Ordnung im</w:t>
      </w:r>
    </w:p>
    <w:p>
      <w:r>
        <w:t xml:space="preserve">jeweiligen Hafen erforderlich sind.</w:t>
      </w:r>
    </w:p>
    <w:p>
      <w:r>
        <w:t xml:space="preserve">(4) Auf Antrag kann die obere Verkehrsbehörde den</w:t>
      </w:r>
    </w:p>
    <w:p>
      <w:r>
        <w:t xml:space="preserve">Hafenbetreiber von einzelnen Vorschriften dieser Verordnung zeitweilig</w:t>
      </w:r>
    </w:p>
    <w:p>
      <w:r>
        <w:t xml:space="preserve">befreien, wenn dadurch die öffentliche Sicherheit oder Ordnung im</w:t>
      </w:r>
    </w:p>
    <w:p>
      <w:r>
        <w:t xml:space="preserve">jeweiligen Hafen nicht beeinträchtigt wird.</w:t>
      </w:r>
    </w:p>
    <w:p>
      <w:r>
        <w:t xml:space="preserve">(5) Die obere Verkehrsbehörde kann das Verlassen des</w:t>
      </w:r>
    </w:p>
    <w:p>
      <w:r>
        <w:t xml:space="preserve">Hafens anordnen, wenn es zum Schutz der öffentlichen Sicherheit oder</w:t>
      </w:r>
    </w:p>
    <w:p>
      <w:r>
        <w:t xml:space="preserve">Ordnung erforderlich ist.</w:t>
      </w:r>
    </w:p>
    <w:p>
      <w:r>
        <w:rPr>
          <w:color w:val="555555"/>
          <w:sz w:val="17"/>
        </w:rPr>
        <w:t xml:space="preserve">Zitiervorschlag: § 5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