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LHafenV (Brandenburg) — Übergangsbestimmungen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alle bei Inkrafttreten des Brandenburgischen</w:t>
      </w:r>
    </w:p>
    <w:p>
      <w:r>
        <w:t xml:space="preserve">Wassergesetzes nicht betriebenen Häfen und Umschlagplätze sowie</w:t>
      </w:r>
    </w:p>
    <w:p>
      <w:r>
        <w:t xml:space="preserve">für solche, die über einen Zeitraum von mindestens zwei Jahren nicht</w:t>
      </w:r>
    </w:p>
    <w:p>
      <w:r>
        <w:t xml:space="preserve">betrieben wurden, muß eine neue Genehmigung nach § 48 des</w:t>
      </w:r>
    </w:p>
    <w:p>
      <w:r>
        <w:t xml:space="preserve">Brandenburgischen Wassergesetzes beantragt werden, wenn an diesen Standorten</w:t>
      </w:r>
    </w:p>
    <w:p>
      <w:r>
        <w:t xml:space="preserve">der Umschlag oder Hafenbetrieb wieder aufgenommen werden soll.</w:t>
      </w:r>
    </w:p>
    <w:p>
      <w:r>
        <w:t xml:space="preserve">(2) Hafenordnungen oder -satzungen, die vor Inkrafttreten</w:t>
      </w:r>
    </w:p>
    <w:p>
      <w:r>
        <w:t xml:space="preserve">dieser Verordnung durch den Hafenbetreiber erlassen wurden, gelten als</w:t>
      </w:r>
    </w:p>
    <w:p>
      <w:r>
        <w:t xml:space="preserve">Hafenordnung im Sinne des § 7 Abs. 2, wenn sie den Regelungen dieser</w:t>
      </w:r>
    </w:p>
    <w:p>
      <w:r>
        <w:t xml:space="preserve">Verordnung nicht widersprechen.</w:t>
      </w:r>
    </w:p>
    <w:p>
      <w:r>
        <w:rPr>
          <w:color w:val="555555"/>
          <w:sz w:val="17"/>
        </w:rPr>
        <w:t xml:space="preserve">Zitiervorschlag: § 42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https://recht.nulegal.eu/gesetze/LHafenV/42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