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40b LHafenV (Brandenburg) — Pflichten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Gebiet eines Hafens gemäß § 1 Absatz 1 und im</w:t>
      </w:r>
    </w:p>
    <w:p>
      <w:r>
        <w:t xml:space="preserve">Sinne des § 40a Absatz 1 stellt der Betreiber des Hafens sicher, dass:</w:t>
      </w:r>
    </w:p>
    <w:p>
      <w:r>
        <w:t xml:space="preserve">den Benutzern der Binnenschifffahrtsinformationsdienste alle</w:t>
      </w:r>
    </w:p>
    <w:p>
      <w:r>
        <w:t xml:space="preserve">für die Navigation und Reiseplanung relevanten Daten gemäß Anhang I der</w:t>
      </w:r>
    </w:p>
    <w:p>
      <w:r>
        <w:t xml:space="preserve">Richtlinie 2005/44/EG des Europäischen Parlaments und des Rates vom 7. September</w:t>
      </w:r>
    </w:p>
    <w:p>
      <w:r>
        <w:t xml:space="preserve">2005 über harmonisierte Binnenschifffahrtsinformationsdienste (RIS) auf den</w:t>
      </w:r>
    </w:p>
    <w:p>
      <w:r>
        <w:t xml:space="preserve">Binnenwasserstraßen der Gemeinschaft (ABl. L 255 vom 30.9.2005, S. 152) in einem</w:t>
      </w:r>
    </w:p>
    <w:p>
      <w:r>
        <w:t xml:space="preserve">elektronischen Format zugänglich sind,</w:t>
      </w:r>
    </w:p>
    <w:p>
      <w:r>
        <w:t xml:space="preserve">den Benutzern der Binnenschifffahrtsinformationsdienste über</w:t>
      </w:r>
    </w:p>
    <w:p>
      <w:r>
        <w:t xml:space="preserve">die gemäß Nummer 1 genannten Daten hinaus navigationstaugliche elektronische</w:t>
      </w:r>
    </w:p>
    <w:p>
      <w:r>
        <w:t xml:space="preserve">Schifffahrtskarten zur Verfügung stehen, soweit sich der Hafen an einer</w:t>
      </w:r>
    </w:p>
    <w:p>
      <w:r>
        <w:t xml:space="preserve">Binnenwasserstraße der Klasse V a und darüber gemäß der Klassifizierung der</w:t>
      </w:r>
    </w:p>
    <w:p>
      <w:r>
        <w:t xml:space="preserve">europäischen Binnenwasserstraßen befindet,</w:t>
      </w:r>
    </w:p>
    <w:p>
      <w:r>
        <w:t xml:space="preserve">elektronische Meldungen der erforderlichen Daten von Schiffen</w:t>
      </w:r>
    </w:p>
    <w:p>
      <w:r>
        <w:t xml:space="preserve">empfangen werden können, soweit internationale, bundes- oder landesgesetzliche</w:t>
      </w:r>
    </w:p>
    <w:p>
      <w:r>
        <w:t xml:space="preserve">Vorschriften ein Meldeverfahren für Schiffe vorsehen und</w:t>
      </w:r>
    </w:p>
    <w:p>
      <w:r>
        <w:t xml:space="preserve">Nachrichten für die Binnenschifffahrt in standardisierter,</w:t>
      </w:r>
    </w:p>
    <w:p>
      <w:r>
        <w:t xml:space="preserve">codierter und abrufbarer Form bereitstehen, wobei die standardisierten</w:t>
      </w:r>
    </w:p>
    <w:p>
      <w:r>
        <w:t xml:space="preserve">Nachrichten mindestens die für die sichere Schiffsführung erforderlichen</w:t>
      </w:r>
    </w:p>
    <w:p>
      <w:r>
        <w:t xml:space="preserve">Informationen enthalten und diese für die Binnenschifffahrt zumindest in einem</w:t>
      </w:r>
    </w:p>
    <w:p>
      <w:r>
        <w:t xml:space="preserve">elektronischen Format zugänglich sein müssen.</w:t>
      </w:r>
    </w:p>
    <w:p>
      <w:r>
        <w:t xml:space="preserve">(2) Die in</w:t>
      </w:r>
    </w:p>
    <w:p>
      <w:r>
        <w:t xml:space="preserve">Absatz 1 genannten Verpflichtungen sind entsprechend den in den Anhängen I und</w:t>
      </w:r>
    </w:p>
    <w:p>
      <w:r>
        <w:t xml:space="preserve">II der Richtlinie 2005/44/EG festgelegten Spezifikationen zu erfüllen. Für den</w:t>
      </w:r>
    </w:p>
    <w:p>
      <w:r>
        <w:t xml:space="preserve">Betrieb der unter Absatz 1 aufgeführten Binnenschifffahrtsinformationsdienste</w:t>
      </w:r>
    </w:p>
    <w:p>
      <w:r>
        <w:t xml:space="preserve">gelten die in Artikel 5 der Richtlinie 2005/44/EG genannten technischen</w:t>
      </w:r>
    </w:p>
    <w:p>
      <w:r>
        <w:t xml:space="preserve">Leitlinien und Spezifikationen.</w:t>
      </w:r>
    </w:p>
    <w:p>
      <w:r>
        <w:rPr>
          <w:color w:val="555555"/>
          <w:sz w:val="17"/>
        </w:rPr>
        <w:t xml:space="preserve">Zitiervorschlag: § 40b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https://recht.nulegal.eu/gesetze/LHafenV/40b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