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LHafenV (Brandenburg) — Gasfreiheitszeugnis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Nach dem Entgasen muß der gefährdete Bereich</w:t>
      </w:r>
    </w:p>
    <w:p>
      <w:r>
        <w:t xml:space="preserve">durch eine sachkundige Person oder dazu zugelassene Firma begutachtet werden.</w:t>
      </w:r>
    </w:p>
    <w:p>
      <w:r>
        <w:t xml:space="preserve">(2) Die sachkundige Person oder die dazu zugelassene Firma</w:t>
      </w:r>
    </w:p>
    <w:p>
      <w:r>
        <w:t xml:space="preserve">stellt ein Gasfreiheitszeugnis : "Sicher zum Begehen" aus, wenn keine</w:t>
      </w:r>
    </w:p>
    <w:p>
      <w:r>
        <w:t xml:space="preserve">nachweisbare Konzentration von gefährlichen Gasen oder Dämpfen</w:t>
      </w:r>
    </w:p>
    <w:p>
      <w:r>
        <w:t xml:space="preserve">vorhanden ist, das heißt daß alle gefährlichen</w:t>
      </w:r>
    </w:p>
    <w:p>
      <w:r>
        <w:t xml:space="preserve">Rückstände soweit entfernt worden sind, daß sich keine</w:t>
      </w:r>
    </w:p>
    <w:p>
      <w:r>
        <w:t xml:space="preserve">Gasgemische in gefahrdrohender Menge bilden können.</w:t>
      </w:r>
    </w:p>
    <w:p>
      <w:r>
        <w:t xml:space="preserve">(3) Die sachkundige Person oder die dazu zugelassene Firma</w:t>
      </w:r>
    </w:p>
    <w:p>
      <w:r>
        <w:t xml:space="preserve">stellt ein Gasfreiheitszeugnis : "Sicher für Feuerarbeiten"</w:t>
      </w:r>
    </w:p>
    <w:p>
      <w:r>
        <w:t xml:space="preserve">unter Angabe des Arbeitsbereiches aus, wenn der Zustand in diesem Bereich die</w:t>
      </w:r>
    </w:p>
    <w:p>
      <w:r>
        <w:t xml:space="preserve">gefahrlose Durchführung der vorgesehenen Feuerarbeiten oder die Anwendung</w:t>
      </w:r>
    </w:p>
    <w:p>
      <w:r>
        <w:t xml:space="preserve">von elektrischem Strom gestattet.</w:t>
      </w:r>
    </w:p>
    <w:p>
      <w:r>
        <w:t xml:space="preserve">(4) Die Gasfreiheitszeugnisse nach den Absätzen 2 und 3</w:t>
      </w:r>
    </w:p>
    <w:p>
      <w:r>
        <w:t xml:space="preserve">gelten 24 Stunden. Die sachkundige Person, die dazu zugelassene Firma oder die</w:t>
      </w:r>
    </w:p>
    <w:p>
      <w:r>
        <w:t xml:space="preserve">obere Verkehrsbehörde können abweichende Fristen bestimmen.</w:t>
      </w:r>
    </w:p>
    <w:p>
      <w:r>
        <w:t xml:space="preserve">(5) Das ausgestellte Zeugnis muß an einer jedermann</w:t>
      </w:r>
    </w:p>
    <w:p>
      <w:r>
        <w:t xml:space="preserve">zugänglichen, gut sichtbaren Stelle an Bord des Fahrzeuges durch den</w:t>
      </w:r>
    </w:p>
    <w:p>
      <w:r>
        <w:t xml:space="preserve">Schiffsführer oder den von ihm Beauftragten ausgehängt werden.</w:t>
      </w:r>
    </w:p>
    <w:p>
      <w:r>
        <w:rPr>
          <w:color w:val="555555"/>
          <w:sz w:val="17"/>
        </w:rPr>
        <w:t xml:space="preserve">Zitiervorschlag: § 40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https://recht.nulegal.eu/gesetze/LHafenV/40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