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LHafenV (Brandenburg) — Zuständigkeiten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Obere Verkehrsbehörde im Sinne dieser Verordnung ist</w:t>
      </w:r>
    </w:p>
    <w:p>
      <w:r>
        <w:t xml:space="preserve">das Brandenburgische Landesamt für Verkehr und Straßenbau.</w:t>
      </w:r>
    </w:p>
    <w:p>
      <w:r>
        <w:t xml:space="preserve">(2) Die obere Verkehrsbehörde hat die Aufgabe, Gefahren</w:t>
      </w:r>
    </w:p>
    <w:p>
      <w:r>
        <w:t xml:space="preserve">abzuwehren, durch die die öffentliche Sicherheit oder Ordnung, der Verkehr</w:t>
      </w:r>
    </w:p>
    <w:p>
      <w:r>
        <w:t xml:space="preserve">und der Betrieb im Hafen bedroht werden. Sie kann sich zur Wahrnehmung der</w:t>
      </w:r>
    </w:p>
    <w:p>
      <w:r>
        <w:t xml:space="preserve">Aufgaben nach dieser Verordnung nach Zustimmung des Hafenbetreibers seiner</w:t>
      </w:r>
    </w:p>
    <w:p>
      <w:r>
        <w:t xml:space="preserve">Arbeitskräfte als Verrichtungsgehilfen bedienen.</w:t>
      </w:r>
    </w:p>
    <w:p>
      <w:r>
        <w:t xml:space="preserve">(3) Die obere Verkehrsbehörde ist zuständig für</w:t>
      </w:r>
    </w:p>
    <w:p>
      <w:r>
        <w:t xml:space="preserve">die Erteilung von Genehmigungen für Häfen gemäß</w:t>
      </w:r>
    </w:p>
    <w:p>
      <w:r>
        <w:t xml:space="preserve">§ 48 des Brandenburgischen Wassergesetzes. Bau-, immissions- und</w:t>
      </w:r>
    </w:p>
    <w:p>
      <w:r>
        <w:t xml:space="preserve">wasserrechtliche Genehmigungen bleiben davon unberührt;</w:t>
      </w:r>
    </w:p>
    <w:p>
      <w:r>
        <w:t xml:space="preserve">Genehmigung der jeweiligen Hafenordnungen nach § 7;</w:t>
      </w:r>
    </w:p>
    <w:p>
      <w:r>
        <w:t xml:space="preserve">die Wahrnehmung der Aufgaben und Befugnisse der Strom- und</w:t>
      </w:r>
    </w:p>
    <w:p>
      <w:r>
        <w:t xml:space="preserve">Schiffahrtspolizeibehörde entsprechend den in § 3 genannten</w:t>
      </w:r>
    </w:p>
    <w:p>
      <w:r>
        <w:t xml:space="preserve">Vorschriften;</w:t>
      </w:r>
    </w:p>
    <w:p>
      <w:r>
        <w:t xml:space="preserve">die Freigabe des Hafens oder Teile des Hafens für den Umschlag von</w:t>
      </w:r>
    </w:p>
    <w:p>
      <w:r>
        <w:t xml:space="preserve">gefährlichen Gütern und wassergefährdenden Stoffen sowie deren</w:t>
      </w:r>
    </w:p>
    <w:p>
      <w:r>
        <w:t xml:space="preserve">Lagerung unter den Voraussetzungen der einschlägigen Vorschriften,</w:t>
      </w:r>
    </w:p>
    <w:p>
      <w:r>
        <w:t xml:space="preserve">insbesondere des Wasserhaushaltgesetzes;</w:t>
      </w:r>
    </w:p>
    <w:p>
      <w:r>
        <w:t xml:space="preserve">die Überwachung der Verordnungen über das Laden, Löschen</w:t>
      </w:r>
    </w:p>
    <w:p>
      <w:r>
        <w:t xml:space="preserve">und Lagern sowie die Beförderung von gefährlichen Gütern in den</w:t>
      </w:r>
    </w:p>
    <w:p>
      <w:r>
        <w:t xml:space="preserve">Häfen des Landes Brandenburg entsprechend den in § 3 Abs. 1 genannten</w:t>
      </w:r>
    </w:p>
    <w:p>
      <w:r>
        <w:t xml:space="preserve">Vorschriften;</w:t>
      </w:r>
    </w:p>
    <w:p>
      <w:r>
        <w:t xml:space="preserve">(4) Besonderheiten beim Umschlag, Lagern und Befördern</w:t>
      </w:r>
    </w:p>
    <w:p>
      <w:r>
        <w:t xml:space="preserve">von gefährlichen Gütern in den Häfen werden in den</w:t>
      </w:r>
    </w:p>
    <w:p>
      <w:r>
        <w:t xml:space="preserve">Hafenordnungen geregelt.</w:t>
      </w:r>
    </w:p>
    <w:p>
      <w:r>
        <w:t xml:space="preserve">(5) In Häfen, die unmittelbar Teil einer</w:t>
      </w:r>
    </w:p>
    <w:p>
      <w:r>
        <w:t xml:space="preserve">Bundeswasserstraße sind, bleibt die Zuständigkeit der Wasser- und</w:t>
      </w:r>
    </w:p>
    <w:p>
      <w:r>
        <w:t xml:space="preserve">Schiffahrtsverwaltung des Bundes unberührt.</w:t>
      </w:r>
    </w:p>
    <w:p>
      <w:r>
        <w:rPr>
          <w:color w:val="555555"/>
          <w:sz w:val="17"/>
        </w:rPr>
        <w:t xml:space="preserve">Zitiervorschlag: § 4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