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LHafenV (Brandenburg) — Reinigen und Entgasen von Tankschiffen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Reinigen und Entgasen von Tankschiffen ist nur mit</w:t>
      </w:r>
    </w:p>
    <w:p>
      <w:r>
        <w:t xml:space="preserve">Erlaubnis des Hafenbetreibers nach vorheriger Abstimmung mit der oberen</w:t>
      </w:r>
    </w:p>
    <w:p>
      <w:r>
        <w:t xml:space="preserve">Verkehrsbehörde zulässig. Soweit es im Einzelfall zur Vermeidung von</w:t>
      </w:r>
    </w:p>
    <w:p>
      <w:r>
        <w:t xml:space="preserve">Gefahren für die Sicherheit oder Ordnung erforderlich ist, kann der</w:t>
      </w:r>
    </w:p>
    <w:p>
      <w:r>
        <w:t xml:space="preserve">Hafenbetreiber diesbezügliche Anordnungen, insbesondere über einen</w:t>
      </w:r>
    </w:p>
    <w:p>
      <w:r>
        <w:t xml:space="preserve">geeigneten Liegeplatz, treffen.</w:t>
      </w:r>
    </w:p>
    <w:p>
      <w:r>
        <w:rPr>
          <w:color w:val="555555"/>
          <w:sz w:val="17"/>
        </w:rPr>
        <w:t xml:space="preserve">Zitiervorschlag: § 39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