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LHafenV (Brandenburg) — Anzeigepflicht bei Gefahren und Schäden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Dem Hafenbetreiber ist durch den Sachkundigen</w:t>
      </w:r>
    </w:p>
    <w:p>
      <w:r>
        <w:t xml:space="preserve">unverzüglich anzuzeigen, wenn</w:t>
      </w:r>
    </w:p>
    <w:p>
      <w:r>
        <w:t xml:space="preserve">sich gefährliche Güter oder deren Verpackungen in einem Zustand</w:t>
      </w:r>
    </w:p>
    <w:p>
      <w:r>
        <w:t xml:space="preserve">befinden, der einen sicheren Umschlag, eine sichere Beförderung oder</w:t>
      </w:r>
    </w:p>
    <w:p>
      <w:r>
        <w:t xml:space="preserve">sichere Lagerung nicht zuläßt;</w:t>
      </w:r>
    </w:p>
    <w:p>
      <w:r>
        <w:t xml:space="preserve">gefährliche Güter freigeworden sind oder wenn die Gefahr des</w:t>
      </w:r>
    </w:p>
    <w:p>
      <w:r>
        <w:t xml:space="preserve">Freiwerdens besteht;</w:t>
      </w:r>
    </w:p>
    <w:p>
      <w:r>
        <w:t xml:space="preserve">vor oder während des Umschlags von gefährlichen Gütern</w:t>
      </w:r>
    </w:p>
    <w:p>
      <w:r>
        <w:t xml:space="preserve">Mängel an den Umschlaganlagen oder -einrichtungen festgestellt werden;</w:t>
      </w:r>
    </w:p>
    <w:p>
      <w:r>
        <w:t xml:space="preserve">gefährliche Güter abhanden gekommen sind.</w:t>
      </w:r>
    </w:p>
    <w:p>
      <w:r>
        <w:t xml:space="preserve">(2) Jeder weitere Umgang mit beschädigten</w:t>
      </w:r>
    </w:p>
    <w:p>
      <w:r>
        <w:t xml:space="preserve">Versandstücken ist nur nach Zustimmung des Hafenbetreibers erlaubt.</w:t>
      </w:r>
    </w:p>
    <w:p>
      <w:r>
        <w:t xml:space="preserve">(3) Der Hafenbetreiber kann die ordnungsgemäße</w:t>
      </w:r>
    </w:p>
    <w:p>
      <w:r>
        <w:t xml:space="preserve">Wiederherstellung der Verpackung, die Beseitigung beschädigter</w:t>
      </w:r>
    </w:p>
    <w:p>
      <w:r>
        <w:t xml:space="preserve">Packstücke, die einstweilige Sicherstellung dieser Güter auf einem</w:t>
      </w:r>
    </w:p>
    <w:p>
      <w:r>
        <w:t xml:space="preserve">von ihm zu bestimmenden Platz sowie das Hinzuziehen eines Sachverständigen</w:t>
      </w:r>
    </w:p>
    <w:p>
      <w:r>
        <w:t xml:space="preserve">anordnen. Die Instandsetzung oder ordnungsgemäße Wiederherstellung</w:t>
      </w:r>
    </w:p>
    <w:p>
      <w:r>
        <w:t xml:space="preserve">beschädigter Verpackungen sowie das Umpacken oder Umfüllen der</w:t>
      </w:r>
    </w:p>
    <w:p>
      <w:r>
        <w:t xml:space="preserve">gefährlichen Güter darf nur nach Genehmigung durch den Hafenbetreiber</w:t>
      </w:r>
    </w:p>
    <w:p>
      <w:r>
        <w:t xml:space="preserve">und unter Aufsicht und Überwachung einer sachkundigen Person erfolgen.</w:t>
      </w:r>
    </w:p>
    <w:p>
      <w:r>
        <w:t xml:space="preserve">(4) Werden bei der Beschädigung von Versandstücken</w:t>
      </w:r>
    </w:p>
    <w:p>
      <w:r>
        <w:t xml:space="preserve">gefährliche Güter frei, so ist der Unfallort durch den Sachkundigen</w:t>
      </w:r>
    </w:p>
    <w:p>
      <w:r>
        <w:t xml:space="preserve">abzusperren und zu sichern. Die Hinweise in den Unfallmerkblättern und auf</w:t>
      </w:r>
    </w:p>
    <w:p>
      <w:r>
        <w:t xml:space="preserve">den Verpackungen sind zu beachten. Abfallstoffe sowie Stoffe, die zum</w:t>
      </w:r>
    </w:p>
    <w:p>
      <w:r>
        <w:t xml:space="preserve">Eindämmen und Aufsaugen auslaufender flüssiger gefährlicher</w:t>
      </w:r>
    </w:p>
    <w:p>
      <w:r>
        <w:t xml:space="preserve">Güter benutzt werden, sind in geeigneten Behältern aufzubewahren.</w:t>
      </w:r>
    </w:p>
    <w:p>
      <w:r>
        <w:t xml:space="preserve">Ihre Beseitigung hat nach Weisung des Hafenbetreibers zu erfolgen.</w:t>
      </w:r>
    </w:p>
    <w:p>
      <w:r>
        <w:t xml:space="preserve">(5) Der Hafenbetreiber hat Vorfälle nach den</w:t>
      </w:r>
    </w:p>
    <w:p>
      <w:r>
        <w:t xml:space="preserve">Absätzen 1 bis 4 der oberen Verkehrsbehörde sowie der</w:t>
      </w:r>
    </w:p>
    <w:p>
      <w:r>
        <w:t xml:space="preserve">zuständigen Wasserbehörde anzuzeigen.</w:t>
      </w:r>
    </w:p>
    <w:p>
      <w:r>
        <w:rPr>
          <w:color w:val="555555"/>
          <w:sz w:val="17"/>
        </w:rPr>
        <w:t xml:space="preserve">Zitiervorschlag: § 38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