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LHafenV (Brandenburg) — Laden und Löschen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Beim Laden oder Löschen von gefährlichen</w:t>
      </w:r>
    </w:p>
    <w:p>
      <w:r>
        <w:t xml:space="preserve">Gütern darf jeweils nur ein Fahrzeug an der dafür zugelassenen Stelle</w:t>
      </w:r>
    </w:p>
    <w:p>
      <w:r>
        <w:t xml:space="preserve">stilliegen.</w:t>
      </w:r>
    </w:p>
    <w:p>
      <w:r>
        <w:t xml:space="preserve">(2) Bei Fahrzeugen, die gefährliche, entzündbare</w:t>
      </w:r>
    </w:p>
    <w:p>
      <w:r>
        <w:t xml:space="preserve">Güter laden oder löschen, darf sich innerhalb einer Sicherheitszone</w:t>
      </w:r>
    </w:p>
    <w:p>
      <w:r>
        <w:t xml:space="preserve">von zehn Metern um das Fahrzeug keine Zündquelle befinden. Beim Laden oder</w:t>
      </w:r>
    </w:p>
    <w:p>
      <w:r>
        <w:t xml:space="preserve">Löschen dürfen sich Unbefugte innerhalb der Sicherheitszone nicht</w:t>
      </w:r>
    </w:p>
    <w:p>
      <w:r>
        <w:t xml:space="preserve">aufhalten. Weitergehende Vorschriften über die Sicherheitszone bleiben</w:t>
      </w:r>
    </w:p>
    <w:p>
      <w:r>
        <w:t xml:space="preserve">unberührt.</w:t>
      </w:r>
    </w:p>
    <w:p>
      <w:r>
        <w:t xml:space="preserve">(3) Zum Laden und Löschen von wassergefährdenden</w:t>
      </w:r>
    </w:p>
    <w:p>
      <w:r>
        <w:t xml:space="preserve">Flüssigkeiten und flüssigen gefährlichen Gütern dürfen</w:t>
      </w:r>
    </w:p>
    <w:p>
      <w:r>
        <w:t xml:space="preserve">zur Verbindung der festen Rohrleitungen an Land und auf dem Schiff nur</w:t>
      </w:r>
    </w:p>
    <w:p>
      <w:r>
        <w:t xml:space="preserve">betriebssichere bewegliche Umschlagleitungen verwendet werden, deren Nenndruck</w:t>
      </w:r>
    </w:p>
    <w:p>
      <w:r>
        <w:t xml:space="preserve">höher als der maximal mögliche Betriebsdruck ist. Dabei dürfen</w:t>
      </w:r>
    </w:p>
    <w:p>
      <w:r>
        <w:t xml:space="preserve">nur selbstschließende Trockenkupplungen verwendet werden, die</w:t>
      </w:r>
    </w:p>
    <w:p>
      <w:r>
        <w:t xml:space="preserve">Flüssigkeitsverluste beim Abkuppeln verhindern. Es ist ein Not-Trennsystem</w:t>
      </w:r>
    </w:p>
    <w:p>
      <w:r>
        <w:t xml:space="preserve">in Anlehnung an UN 101 zu verwenden, das beim Abreißen oder Abtreiben des</w:t>
      </w:r>
    </w:p>
    <w:p>
      <w:r>
        <w:t xml:space="preserve">Schiffes den Flüssigkeitsstrom zuverlässig unterbricht. Die</w:t>
      </w:r>
    </w:p>
    <w:p>
      <w:r>
        <w:t xml:space="preserve">Wasserfahrzeuge müssen so festgemacht werden können, daß ihre</w:t>
      </w:r>
    </w:p>
    <w:p>
      <w:r>
        <w:t xml:space="preserve">Quer- und Längsbewegungen bei den zu erwartenden größten</w:t>
      </w:r>
    </w:p>
    <w:p>
      <w:r>
        <w:t xml:space="preserve">Wasserstandsschwankungen innerhalb des zulässigen Bewegungsbereiches der</w:t>
      </w:r>
    </w:p>
    <w:p>
      <w:r>
        <w:t xml:space="preserve">Leitungen bleiben.</w:t>
      </w:r>
    </w:p>
    <w:p>
      <w:r>
        <w:t xml:space="preserve">(4) Schläuche sind spätestens alle sechs Monate</w:t>
      </w:r>
    </w:p>
    <w:p>
      <w:r>
        <w:t xml:space="preserve">einer äußeren Prüfung und alle zwölf Monate einer</w:t>
      </w:r>
    </w:p>
    <w:p>
      <w:r>
        <w:t xml:space="preserve">Druckprüfung in Höhe des 1,5fachen Nenndrucks zu unterziehen.</w:t>
      </w:r>
    </w:p>
    <w:p>
      <w:r>
        <w:t xml:space="preserve">Gelenkrohre sind spätestens alle zwei Jahre einer äußeren</w:t>
      </w:r>
    </w:p>
    <w:p>
      <w:r>
        <w:t xml:space="preserve">Prüfung und alle vier Jahre einer Druckprüfung mit dem 1,3fachen</w:t>
      </w:r>
    </w:p>
    <w:p>
      <w:r>
        <w:t xml:space="preserve">Nenndruck zu unterziehen. Die äußeren Prüfungen sind durch eine</w:t>
      </w:r>
    </w:p>
    <w:p>
      <w:r>
        <w:t xml:space="preserve">sachkundige, die Druckprüfungen durch eine sachverständige Person</w:t>
      </w:r>
    </w:p>
    <w:p>
      <w:r>
        <w:t xml:space="preserve">durchzuführen. Hierüber ist ein Nachweis zu führen, der bis zur</w:t>
      </w:r>
    </w:p>
    <w:p>
      <w:r>
        <w:t xml:space="preserve">nächsten Prüfung aufzubewahren ist. Auf Verlangen der oberen</w:t>
      </w:r>
    </w:p>
    <w:p>
      <w:r>
        <w:t xml:space="preserve">Verkehrsbehörde ist die Sachkunde nachzuweisen.</w:t>
      </w:r>
    </w:p>
    <w:p>
      <w:r>
        <w:rPr>
          <w:color w:val="555555"/>
          <w:sz w:val="17"/>
        </w:rPr>
        <w:t xml:space="preserve">Zitiervorschlag: § 36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