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 LHafenV (Brandenburg) — Fluchtwege</w:t>
      </w:r>
    </w:p>
    <w:p>
      <w:r>
        <w:rPr>
          <w:color w:val="555555"/>
          <w:sz w:val="18"/>
        </w:rPr>
        <w:t xml:space="preserve">Landeshafenverordnung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Beim Laden oder Löschen von gefährlichen Gütern</w:t>
      </w:r>
    </w:p>
    <w:p>
      <w:r>
        <w:t xml:space="preserve">müssen zwei feste Fluchtwege vorhanden sein, die vom Hafenbetreiber zur</w:t>
      </w:r>
    </w:p>
    <w:p>
      <w:r>
        <w:t xml:space="preserve">Verfügung gestellt werden müssen. Soweit gleiche Sicherheit nicht auf</w:t>
      </w:r>
    </w:p>
    <w:p>
      <w:r>
        <w:t xml:space="preserve">andere Weise gewährleistet werden kann, zum Beispiel durch anerkannte</w:t>
      </w:r>
    </w:p>
    <w:p>
      <w:r>
        <w:t xml:space="preserve">Sicherheitssysteme in Verbindung mit einem gesicherten Übergang, sind die</w:t>
      </w:r>
    </w:p>
    <w:p>
      <w:r>
        <w:t xml:space="preserve">Fluchtwege vom Vor- oder Achterschiff aus anzulegen. Einer der Fluchtwege kann</w:t>
      </w:r>
    </w:p>
    <w:p>
      <w:r>
        <w:t xml:space="preserve">durch ein zu Wasser gelassenes, jederzeit sicher erreichbares, betriebsbereites</w:t>
      </w:r>
    </w:p>
    <w:p>
      <w:r>
        <w:t xml:space="preserve">Beiboot ersetzt werden, wenn dadurch die gleiche Sicherheit gewährleistet</w:t>
      </w:r>
    </w:p>
    <w:p>
      <w:r>
        <w:t xml:space="preserve">ist.</w:t>
      </w:r>
    </w:p>
    <w:p>
      <w:r>
        <w:rPr>
          <w:color w:val="555555"/>
          <w:sz w:val="17"/>
        </w:rPr>
        <w:t xml:space="preserve">Zitiervorschlag: § 35 LHafenV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https://recht.nulegal.eu/gesetze/LHafenV/35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