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LHafenV (Brandenburg) — Allgemeine Sicherheitsbestimmungen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 jedem Zugang eines festgemachten Binnenschiffes mit</w:t>
      </w:r>
    </w:p>
    <w:p>
      <w:r>
        <w:t xml:space="preserve">gefährlichen Gütern als Ladung ist durch den Hafenbetreiber eine</w:t>
      </w:r>
    </w:p>
    <w:p>
      <w:r>
        <w:t xml:space="preserve">Warntafel mit der Aufschrift : "Vorsicht - gefährliche</w:t>
      </w:r>
    </w:p>
    <w:p>
      <w:r>
        <w:t xml:space="preserve">Güter" anzubringen. Die Tafel muß nachts beleuchtet werden.</w:t>
      </w:r>
    </w:p>
    <w:p>
      <w:r>
        <w:t xml:space="preserve">(2) Fahrzeuge mit in Betrieb befindlichen</w:t>
      </w:r>
    </w:p>
    <w:p>
      <w:r>
        <w:t xml:space="preserve">Verbrennungskraftmaschinen oder Feuerungsanlagen, deren Schornsteine oder</w:t>
      </w:r>
    </w:p>
    <w:p>
      <w:r>
        <w:t xml:space="preserve">Abgasleitungen nicht mit wirksamen Funkenfängern ausgerüstet sind,</w:t>
      </w:r>
    </w:p>
    <w:p>
      <w:r>
        <w:t xml:space="preserve">müssen von Binnenschiffen, die gefährliche Güter als Ladung an</w:t>
      </w:r>
    </w:p>
    <w:p>
      <w:r>
        <w:t xml:space="preserve">Bord haben und die Bezeichnung nach der Gefahrgutverordnung Binnenschiffahrt</w:t>
      </w:r>
    </w:p>
    <w:p>
      <w:r>
        <w:t xml:space="preserve">führen, einen Mindestabstand entsprechend § 7.07 der</w:t>
      </w:r>
    </w:p>
    <w:p>
      <w:r>
        <w:t xml:space="preserve">Binnenschiffahrtsstraßen-Ordnung einhalten.</w:t>
      </w:r>
    </w:p>
    <w:p>
      <w:r>
        <w:t xml:space="preserve">(3) Die obere Verkehrsbehörde kann abweichend von Absatz</w:t>
      </w:r>
    </w:p>
    <w:p>
      <w:r>
        <w:t xml:space="preserve">2 geringere Mindestabstände zulassen.</w:t>
      </w:r>
    </w:p>
    <w:p>
      <w:r>
        <w:rPr>
          <w:color w:val="555555"/>
          <w:sz w:val="17"/>
        </w:rPr>
        <w:t xml:space="preserve">Zitiervorschlag: § 34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