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LHafenV (Brandenburg) — Festmachen von Fahrzeugen</w:t>
      </w:r>
    </w:p>
    <w:p>
      <w:r>
        <w:rPr>
          <w:color w:val="555555"/>
          <w:sz w:val="18"/>
        </w:rPr>
        <w:t xml:space="preserve">Landeshafenverordnung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Binnenschiffe mit gefährlichen Gütern an Bord sind</w:t>
      </w:r>
    </w:p>
    <w:p>
      <w:r>
        <w:t xml:space="preserve">so festzumachen, daß der Bug in Richtung der Hafenausfahrt liegt, sofern</w:t>
      </w:r>
    </w:p>
    <w:p>
      <w:r>
        <w:t xml:space="preserve">der Hafenbetreiber nichts anderes zuläßt.</w:t>
      </w:r>
    </w:p>
    <w:p>
      <w:r>
        <w:rPr>
          <w:color w:val="555555"/>
          <w:sz w:val="17"/>
        </w:rPr>
        <w:t xml:space="preserve">Zitiervorschlag: § 33 LHafenV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https://recht.nulegal.eu/gesetze/LHafenV/33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