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LHafenV (Brandenburg) — Liegeplätze für Schiffe mit gefährlichen Gütern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Liegeplätze für Schiffe mit gefährlichen</w:t>
      </w:r>
    </w:p>
    <w:p>
      <w:r>
        <w:t xml:space="preserve">Gütern sind nach den in § 3 Abs. 1 Nr. 1 bis 4 genannten Vorschriften</w:t>
      </w:r>
    </w:p>
    <w:p>
      <w:r>
        <w:t xml:space="preserve">durch den Hafenbetreiber zu kennzeichnen.</w:t>
      </w:r>
    </w:p>
    <w:p>
      <w:r>
        <w:t xml:space="preserve">(2) Fahrzeuge, die gemäß Randnummer 10 500 der</w:t>
      </w:r>
    </w:p>
    <w:p>
      <w:r>
        <w:t xml:space="preserve">Anlage B 1 oder 210 500 der Anlage B 2 zur Gefahrgutverordnung Binnenschiffahrt</w:t>
      </w:r>
    </w:p>
    <w:p>
      <w:r>
        <w:t xml:space="preserve">eins, zwei oder drei blaue Kegel bei Tag oder blaue Lichter bei Nacht</w:t>
      </w:r>
    </w:p>
    <w:p>
      <w:r>
        <w:t xml:space="preserve">führen müssen, dürfen zum Stilliegen nur die nach Absatz 1</w:t>
      </w:r>
    </w:p>
    <w:p>
      <w:r>
        <w:t xml:space="preserve">gekennzeichneten Liegeplätze benutzen. Sind keine derartigen</w:t>
      </w:r>
    </w:p>
    <w:p>
      <w:r>
        <w:t xml:space="preserve">Liegeplätze vorgesehen, ist ihnen das Stilliegen im Hafen nur dann</w:t>
      </w:r>
    </w:p>
    <w:p>
      <w:r>
        <w:t xml:space="preserve">gestattet, wenn ihnen vom Hafenbetreiber ein besonderer Liegeplatz zugewiesen</w:t>
      </w:r>
    </w:p>
    <w:p>
      <w:r>
        <w:t xml:space="preserve">ist.</w:t>
      </w:r>
    </w:p>
    <w:p>
      <w:r>
        <w:t xml:space="preserve">(3) Anderen als den in Absatz 2 genannten Fahrzeugen ist die</w:t>
      </w:r>
    </w:p>
    <w:p>
      <w:r>
        <w:t xml:space="preserve">Benutzung dieser ausgewiesenen Liegeplätze untersagt. Dies gilt nicht</w:t>
      </w:r>
    </w:p>
    <w:p>
      <w:r>
        <w:t xml:space="preserve">für Fahrzeuge, die keinen blauen Kegel führen müssen, jedoch zur</w:t>
      </w:r>
    </w:p>
    <w:p>
      <w:r>
        <w:t xml:space="preserve">Beförderung von gefährlichen Gütern zugelassen sind und damit</w:t>
      </w:r>
    </w:p>
    <w:p>
      <w:r>
        <w:t xml:space="preserve">die entsprechenden Sicherheitsvorschriften erfüllen.</w:t>
      </w:r>
    </w:p>
    <w:p>
      <w:r>
        <w:rPr>
          <w:color w:val="555555"/>
          <w:sz w:val="17"/>
        </w:rPr>
        <w:t xml:space="preserve">Zitiervorschlag: § 32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https://recht.nulegal.eu/gesetze/LHafenV/32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