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LHafenV (Brandenburg) — Vorkehrungen für Gefahrenfälle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Schiffsführer von Schiffen mit gefährlichen</w:t>
      </w:r>
    </w:p>
    <w:p>
      <w:r>
        <w:t xml:space="preserve">Gütern oder wassergefährdenden Stoffen oder die von ihnen</w:t>
      </w:r>
    </w:p>
    <w:p>
      <w:r>
        <w:t xml:space="preserve">Beauftragten haben sich unverzüglich nach Anlaufen des Hafens darüber</w:t>
      </w:r>
    </w:p>
    <w:p>
      <w:r>
        <w:t xml:space="preserve">zu unterrichten, welche Einrichtungen zur Alarmierung des Hafenbetreibers, der</w:t>
      </w:r>
    </w:p>
    <w:p>
      <w:r>
        <w:t xml:space="preserve">oberen Verkehrsbehörde, der nächsten Polizeidienststelle, der</w:t>
      </w:r>
    </w:p>
    <w:p>
      <w:r>
        <w:t xml:space="preserve">Feuerwehr und des Rettungsdienstes bei Gefahr vorhanden sind.</w:t>
      </w:r>
    </w:p>
    <w:p>
      <w:r>
        <w:rPr>
          <w:color w:val="555555"/>
          <w:sz w:val="17"/>
        </w:rPr>
        <w:t xml:space="preserve">Zitiervorschlag: § 31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https://recht.nulegal.eu/gesetze/LHafenV/31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