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LHafenV (Brandenburg) — Anwendung anderer Vorschriften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Soweit nachstehend nichts Abweichendes bestimmt ist,</w:t>
      </w:r>
    </w:p>
    <w:p>
      <w:r>
        <w:t xml:space="preserve">finden die Bestimmungen der folgenden Rechtsvorschriften Anwendung:</w:t>
      </w:r>
    </w:p>
    <w:p>
      <w:r>
        <w:t xml:space="preserve">Gefahrgutverordnung Binnenschiffahrt,</w:t>
      </w:r>
    </w:p>
    <w:p>
      <w:r>
        <w:t xml:space="preserve">Gefahrgutverordnung Straße,</w:t>
      </w:r>
    </w:p>
    <w:p>
      <w:r>
        <w:t xml:space="preserve">Europäisches Übereinkommen über die internationale</w:t>
      </w:r>
    </w:p>
    <w:p>
      <w:r>
        <w:t xml:space="preserve">Beförderung gefährlicher Güter auf der Straße,</w:t>
      </w:r>
    </w:p>
    <w:p>
      <w:r>
        <w:t xml:space="preserve">Gefahrgutverordnung Eisenbahn,</w:t>
      </w:r>
    </w:p>
    <w:p>
      <w:r>
        <w:t xml:space="preserve">Landesschiffahrtsverordnung.</w:t>
      </w:r>
    </w:p>
    <w:p>
      <w:r>
        <w:t xml:space="preserve">(2) Für die unmittelbar oder mittelbar am Netz der</w:t>
      </w:r>
    </w:p>
    <w:p>
      <w:r>
        <w:t xml:space="preserve">Bundeswasserstraßen gelegenen Häfen gelten darüber hinaus</w:t>
      </w:r>
    </w:p>
    <w:p>
      <w:r>
        <w:t xml:space="preserve">folgende Rechtsvorschriften des Bundes:</w:t>
      </w:r>
    </w:p>
    <w:p>
      <w:r>
        <w:t xml:space="preserve">Bundeswasserstraßengesetz,</w:t>
      </w:r>
    </w:p>
    <w:p>
      <w:r>
        <w:t xml:space="preserve">Binnenschiffahrtsstraßen-Ordnung,</w:t>
      </w:r>
    </w:p>
    <w:p>
      <w:r>
        <w:t xml:space="preserve">Binnenschiffs-Untersuchungsordnung,</w:t>
      </w:r>
    </w:p>
    <w:p>
      <w:r>
        <w:t xml:space="preserve">Binnenschifferpatentverordnung,</w:t>
      </w:r>
    </w:p>
    <w:p>
      <w:r>
        <w:t xml:space="preserve">Binnenschiffahrt-Sprechfunkverordnung,</w:t>
      </w:r>
    </w:p>
    <w:p>
      <w:r>
        <w:t xml:space="preserve">Binnenschiffahrtsaufgabengesetz.</w:t>
      </w:r>
    </w:p>
    <w:p>
      <w:r>
        <w:rPr>
          <w:color w:val="555555"/>
          <w:sz w:val="17"/>
        </w:rPr>
        <w:t xml:space="preserve">Zitiervorschlag: § 3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