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LHafenV (Brandenburg) — Sicherheitsvorschriften gegen Brandgefahr an Land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Nähe von feuergefährlichen Stoffen oder</w:t>
      </w:r>
    </w:p>
    <w:p>
      <w:r>
        <w:t xml:space="preserve">Gegenständen sind das Rauchen und offenes Feuer untersagt. Hierauf hat der</w:t>
      </w:r>
    </w:p>
    <w:p>
      <w:r>
        <w:t xml:space="preserve">Hafenbetreiber durch Verbotstafeln hinzuweisen.</w:t>
      </w:r>
    </w:p>
    <w:p>
      <w:r>
        <w:t xml:space="preserve">(2) In der Nähe von feuergefährlichen Stoffen darf</w:t>
      </w:r>
    </w:p>
    <w:p>
      <w:r>
        <w:t xml:space="preserve">nicht gelötet, geschweißt oder nach anderen Verfahren mit</w:t>
      </w:r>
    </w:p>
    <w:p>
      <w:r>
        <w:t xml:space="preserve">Brandgefahr gearbeitet werden. Jede funkenbildende Tätigkeit in diesem</w:t>
      </w:r>
    </w:p>
    <w:p>
      <w:r>
        <w:t xml:space="preserve">Bereich ist verboten.</w:t>
      </w:r>
    </w:p>
    <w:p>
      <w:r>
        <w:t xml:space="preserve">(3) In Gefahrenbereichen verkehrende Fahrzeuge sowie</w:t>
      </w:r>
    </w:p>
    <w:p>
      <w:r>
        <w:t xml:space="preserve">eingesetzte Arbeitsgeräte und Beleuchtungsquellen müssen den</w:t>
      </w:r>
    </w:p>
    <w:p>
      <w:r>
        <w:t xml:space="preserve">anerkannten Regeln der Technik entsprechen. Es dürfen nur entsprechend</w:t>
      </w:r>
    </w:p>
    <w:p>
      <w:r>
        <w:t xml:space="preserve">explosionsgeschützte Anlagen, Einrichtungen und Fahrzeuge in</w:t>
      </w:r>
    </w:p>
    <w:p>
      <w:r>
        <w:t xml:space="preserve">explosionsgefährdeten Räumen oder Anlagen verwendet werden.</w:t>
      </w:r>
    </w:p>
    <w:p>
      <w:r>
        <w:rPr>
          <w:color w:val="555555"/>
          <w:sz w:val="17"/>
        </w:rPr>
        <w:t xml:space="preserve">Zitiervorschlag: § 27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