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LHafenV (Brandenburg) — Gebrauch der Propulsionsorgane bei festgemachten Fahrzeugen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festgemachten Fahrzeugen dürfen die</w:t>
      </w:r>
    </w:p>
    <w:p>
      <w:r>
        <w:t xml:space="preserve">Propulsionsorgane nicht in Gang gesetzt werden. Dies gilt nicht:</w:t>
      </w:r>
    </w:p>
    <w:p>
      <w:r>
        <w:t xml:space="preserve">kurz vor dem Ablegen,</w:t>
      </w:r>
    </w:p>
    <w:p>
      <w:r>
        <w:t xml:space="preserve">kurzzeitig bei Reparatur- und Wartungsarbeiten,</w:t>
      </w:r>
    </w:p>
    <w:p>
      <w:r>
        <w:t xml:space="preserve">zur Vermeidung von Eisbildung im Bereich der Schiffsschraube und der</w:t>
      </w:r>
    </w:p>
    <w:p>
      <w:r>
        <w:t xml:space="preserve">Ruderanlage,</w:t>
      </w:r>
    </w:p>
    <w:p>
      <w:r>
        <w:t xml:space="preserve">für die Erprobung der Antriebsmaschine und zur Feststellung der</w:t>
      </w:r>
    </w:p>
    <w:p>
      <w:r>
        <w:t xml:space="preserve">Zugkraft (Maschinen- oder Pfahlprobe) in den dafür ausgewiesenen</w:t>
      </w:r>
    </w:p>
    <w:p>
      <w:r>
        <w:t xml:space="preserve">Hafenbereichen.</w:t>
      </w:r>
    </w:p>
    <w:p>
      <w:r>
        <w:t xml:space="preserve">(2) Bei Gebrauch der Propulsionsorgane hat der</w:t>
      </w:r>
    </w:p>
    <w:p>
      <w:r>
        <w:t xml:space="preserve">Schiffsführer oder der von ihm Beauftragte durch eine Aufsichtsperson am</w:t>
      </w:r>
    </w:p>
    <w:p>
      <w:r>
        <w:t xml:space="preserve">Heck dafür zu sorgen, daß andere Fahrzeuge bei Annäherung</w:t>
      </w:r>
    </w:p>
    <w:p>
      <w:r>
        <w:t xml:space="preserve">gewarnt und bei Gefahr die Maschinen sofort gestoppt werden können.</w:t>
      </w:r>
    </w:p>
    <w:p>
      <w:r>
        <w:rPr>
          <w:color w:val="555555"/>
          <w:sz w:val="17"/>
        </w:rPr>
        <w:t xml:space="preserve">Zitiervorschlag: § 25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