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LHafenV (Brandenburg) — Fahrten im Hafen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Fahrzeuge sind so zu bewegen, daß kein</w:t>
      </w:r>
    </w:p>
    <w:p>
      <w:r>
        <w:t xml:space="preserve">schädlicher Sog oder Wellenschlag entsteht und dabei keine Hafenanlagen</w:t>
      </w:r>
    </w:p>
    <w:p>
      <w:r>
        <w:t xml:space="preserve">oder andere Fahrzeuge beschädigt oder gefährdet werden.</w:t>
      </w:r>
    </w:p>
    <w:p>
      <w:r>
        <w:t xml:space="preserve">(2) Die Geschwindigkeit der Fahrzeuge ist so einzurichten,</w:t>
      </w:r>
    </w:p>
    <w:p>
      <w:r>
        <w:t xml:space="preserve">daß diese anderen Fahrzeugen oder Hindernissen ausweichen und</w:t>
      </w:r>
    </w:p>
    <w:p>
      <w:r>
        <w:t xml:space="preserve">nötigenfalls rechtzeitig anhalten können. Der Hafenbetreiber kann</w:t>
      </w:r>
    </w:p>
    <w:p>
      <w:r>
        <w:t xml:space="preserve">allgemein oder für Teile des Hafens Höchstgeschwindigkeiten</w:t>
      </w:r>
    </w:p>
    <w:p>
      <w:r>
        <w:t xml:space="preserve">festlegen.</w:t>
      </w:r>
    </w:p>
    <w:p>
      <w:r>
        <w:rPr>
          <w:color w:val="555555"/>
          <w:sz w:val="17"/>
        </w:rPr>
        <w:t xml:space="preserve">Zitiervorschlag: § 19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