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LHafenV (Brandenburg) — Stillegen von Fahrzeugen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Fahrzeuge und schwimmende Anlagen dürfen nur mit</w:t>
      </w:r>
    </w:p>
    <w:p>
      <w:r>
        <w:t xml:space="preserve">Erlaubnis des Hafenbetreibers im Hafen zur Lagerung von Gütern oder zum</w:t>
      </w:r>
    </w:p>
    <w:p>
      <w:r>
        <w:t xml:space="preserve">Wohnen stillgelegt werden.</w:t>
      </w:r>
    </w:p>
    <w:p>
      <w:r>
        <w:t xml:space="preserve">(2) Stillgelegte Wasserfahrzeuge sind in sicherem und</w:t>
      </w:r>
    </w:p>
    <w:p>
      <w:r>
        <w:t xml:space="preserve">schwimmfähigem Zustand zu halten. Der Eigentümer hat dem</w:t>
      </w:r>
    </w:p>
    <w:p>
      <w:r>
        <w:t xml:space="preserve">Hafenbetreiber eine ortsansässige Person zu benennen, die für das</w:t>
      </w:r>
    </w:p>
    <w:p>
      <w:r>
        <w:t xml:space="preserve">Fahrzeug verantwortlich und verfügungsberechtigt ist.</w:t>
      </w:r>
    </w:p>
    <w:p>
      <w:r>
        <w:t xml:space="preserve">(3) Die Absätze 1 und 2 gelten auch für</w:t>
      </w:r>
    </w:p>
    <w:p>
      <w:r>
        <w:t xml:space="preserve">Winterlieger.</w:t>
      </w:r>
    </w:p>
    <w:p>
      <w:r>
        <w:t xml:space="preserve">(4) Im Hafen ungenehmigt stillgelegte Fahrzeuge kann der</w:t>
      </w:r>
    </w:p>
    <w:p>
      <w:r>
        <w:t xml:space="preserve">Hafenbetreiber mit Zustimmung der zuständigen unteren Wasserbehörde</w:t>
      </w:r>
    </w:p>
    <w:p>
      <w:r>
        <w:t xml:space="preserve">auf Kosten des Eigentümers aus dem Hafen entfernen.</w:t>
      </w:r>
    </w:p>
    <w:p>
      <w:r>
        <w:rPr>
          <w:color w:val="555555"/>
          <w:sz w:val="17"/>
        </w:rPr>
        <w:t xml:space="preserve">Zitiervorschlag: § 18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