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LHafenV (Brandenburg) — Besondere Erlaubnis zum Einlaufen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Einer Erlaubnis des Hafenbetreibers zum Einlaufen in den Hafen</w:t>
      </w:r>
    </w:p>
    <w:p>
      <w:r>
        <w:t xml:space="preserve">bedarf der Schiffsführer oder der von ihm Beauftragte, dessen Fahrzeug</w:t>
      </w:r>
    </w:p>
    <w:p>
      <w:r>
        <w:t xml:space="preserve">oder schwimmende Anlage</w:t>
      </w:r>
    </w:p>
    <w:p>
      <w:r>
        <w:t xml:space="preserve">zu sinken droht, brennt oder bei dem Brandverdacht besteht oder nicht mit</w:t>
      </w:r>
    </w:p>
    <w:p>
      <w:r>
        <w:t xml:space="preserve">Sicherheit feststeht, daß ein Brand völlig gelöscht ist,</w:t>
      </w:r>
    </w:p>
    <w:p>
      <w:r>
        <w:t xml:space="preserve">wegen seiner Bau- und Antriebsart oder Abmessungen den Hafenbetrieb oder</w:t>
      </w:r>
    </w:p>
    <w:p>
      <w:r>
        <w:t xml:space="preserve">die Hafenanlagen gefährden oder behindern könnte,</w:t>
      </w:r>
    </w:p>
    <w:p>
      <w:r>
        <w:t xml:space="preserve">zum Stillegen oder Verschrotten bestimmt ist,</w:t>
      </w:r>
    </w:p>
    <w:p>
      <w:r>
        <w:t xml:space="preserve">nicht unmittelbar oder mittelbar am Umschlagbetrieb beteiligt ist,</w:t>
      </w:r>
    </w:p>
    <w:p>
      <w:r>
        <w:t xml:space="preserve">den besonderen Maßnahmen nach dem Gesetz zu den Internationalen</w:t>
      </w:r>
    </w:p>
    <w:p>
      <w:r>
        <w:t xml:space="preserve">Gesundheitsvorschriften unterliegt.</w:t>
      </w:r>
    </w:p>
    <w:p>
      <w:r>
        <w:rPr>
          <w:color w:val="555555"/>
          <w:sz w:val="17"/>
        </w:rPr>
        <w:t xml:space="preserve">Zitiervorschlag: § 17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