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LHafenV (Brandenburg) — Meldepflicht für Fahrzeuge, die gefährliche Güter transportieren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Schiffsführer von Fahrzeugen, die</w:t>
      </w:r>
    </w:p>
    <w:p>
      <w:r>
        <w:t xml:space="preserve">gefährliche Güter geladen haben, müssen sich vor Einfahrt in</w:t>
      </w:r>
    </w:p>
    <w:p>
      <w:r>
        <w:t xml:space="preserve">Häfen, die für den Umschlag von gefährlichen Gütern und</w:t>
      </w:r>
    </w:p>
    <w:p>
      <w:r>
        <w:t xml:space="preserve">wassergefährdenden Stoffen freigegeben sind, beim Hafenbetreiber melden</w:t>
      </w:r>
    </w:p>
    <w:p>
      <w:r>
        <w:t xml:space="preserve">und entsprechend Beförderungspapier mindestens die folgenden Angaben</w:t>
      </w:r>
    </w:p>
    <w:p>
      <w:r>
        <w:t xml:space="preserve">machen:</w:t>
      </w:r>
    </w:p>
    <w:p>
      <w:r>
        <w:t xml:space="preserve">die zulässige technische Bezeichnung einschließlich der UN-Nr.</w:t>
      </w:r>
    </w:p>
    <w:p>
      <w:r>
        <w:t xml:space="preserve">(Nummer zur Kennzeichnung des Stoffes, Stoffnummer) gemäß den</w:t>
      </w:r>
    </w:p>
    <w:p>
      <w:r>
        <w:t xml:space="preserve">anzuwendenden Gefahrgutvorschriften,</w:t>
      </w:r>
    </w:p>
    <w:p>
      <w:r>
        <w:t xml:space="preserve">die Klasse, gegebenenfalls den Buchstaben des Gefahrgutes und die Ziffer</w:t>
      </w:r>
    </w:p>
    <w:p>
      <w:r>
        <w:t xml:space="preserve">der Stoffaufzählung,</w:t>
      </w:r>
    </w:p>
    <w:p>
      <w:r>
        <w:t xml:space="preserve">die Bruttomasse sowie die Nettoexplosivstoffmasse für explosive</w:t>
      </w:r>
    </w:p>
    <w:p>
      <w:r>
        <w:t xml:space="preserve">Stoffe und Gegenstände in der Klasse 1 in Gramm oder Kilogramm,</w:t>
      </w:r>
    </w:p>
    <w:p>
      <w:r>
        <w:t xml:space="preserve">bei gefährlichen Gütern, die gelöscht werden, den Ladehafen</w:t>
      </w:r>
    </w:p>
    <w:p>
      <w:r>
        <w:t xml:space="preserve">und den Bestimmungsort,</w:t>
      </w:r>
    </w:p>
    <w:p>
      <w:r>
        <w:t xml:space="preserve">gegebenenfalls festgestellte Schäden an der Umschließung oder</w:t>
      </w:r>
    </w:p>
    <w:p>
      <w:r>
        <w:t xml:space="preserve">an den Transportbehältern, die gefährliche Güter enthalten,</w:t>
      </w:r>
    </w:p>
    <w:p>
      <w:r>
        <w:t xml:space="preserve">durch die eine Gefährdung der Gesundheit oder des Lebens von Menschen</w:t>
      </w:r>
    </w:p>
    <w:p>
      <w:r>
        <w:t xml:space="preserve">verursacht werden kann.</w:t>
      </w:r>
    </w:p>
    <w:p>
      <w:r>
        <w:t xml:space="preserve">(2) Soweit diese Angaben zweifelsfrei aus Beförderungs-</w:t>
      </w:r>
    </w:p>
    <w:p>
      <w:r>
        <w:t xml:space="preserve">und Begleitpapieren zu entnehmen sind, genügt die Vorlage einer Kopie</w:t>
      </w:r>
    </w:p>
    <w:p>
      <w:r>
        <w:t xml:space="preserve">dieser Begleitpapiere.</w:t>
      </w:r>
    </w:p>
    <w:p>
      <w:r>
        <w:t xml:space="preserve">(3) Gefährliche Güter, die den</w:t>
      </w:r>
    </w:p>
    <w:p>
      <w:r>
        <w:t xml:space="preserve">Beförderungsvorschriften nicht entsprechen oder für die keine</w:t>
      </w:r>
    </w:p>
    <w:p>
      <w:r>
        <w:t xml:space="preserve">Beförderungspapiere vorgelegt werden, können durch den Hafenbetreiber</w:t>
      </w:r>
    </w:p>
    <w:p>
      <w:r>
        <w:t xml:space="preserve">zurückgewiesen werden. Sind Mängel an deren Umschließung oder</w:t>
      </w:r>
    </w:p>
    <w:p>
      <w:r>
        <w:t xml:space="preserve">den Transportbehältern aufgetreten, können diese durch den</w:t>
      </w:r>
    </w:p>
    <w:p>
      <w:r>
        <w:t xml:space="preserve">Hafenbetreiber bis zur Behebung des Mangels auf Kosten des Schiffsführers</w:t>
      </w:r>
    </w:p>
    <w:p>
      <w:r>
        <w:t xml:space="preserve">oder des von ihm Beauftragten sichergestellt werden.</w:t>
      </w:r>
    </w:p>
    <w:p>
      <w:r>
        <w:rPr>
          <w:color w:val="555555"/>
          <w:sz w:val="17"/>
        </w:rPr>
        <w:t xml:space="preserve">Zitiervorschlag: § 16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