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LHafenV (Brandenburg) — Reparaturarbeiten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Reparaturarbeiten dürfen nur mit Erlaubnis des</w:t>
      </w:r>
    </w:p>
    <w:p>
      <w:r>
        <w:t xml:space="preserve">Hafenbetreibers nach vorheriger allgemeiner Genehmigung durch die obere</w:t>
      </w:r>
    </w:p>
    <w:p>
      <w:r>
        <w:t xml:space="preserve">Verkehrsbehörde entsprechend der unter § 3 Abs. 1 genannten</w:t>
      </w:r>
    </w:p>
    <w:p>
      <w:r>
        <w:t xml:space="preserve">Vorschriften durchgeführt werden.</w:t>
      </w:r>
    </w:p>
    <w:p>
      <w:r>
        <w:rPr>
          <w:color w:val="555555"/>
          <w:sz w:val="17"/>
        </w:rPr>
        <w:t xml:space="preserve">Zitiervorschlag: § 14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