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LHafenV (Brandenburg) — Besondere Vorfälle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Erleidet ein Fahrzeug oder eine schwimmende Anlage bei</w:t>
      </w:r>
    </w:p>
    <w:p>
      <w:r>
        <w:t xml:space="preserve">oder nach dem Einlaufen einen Schaden, der zu einer Gefährdung der</w:t>
      </w:r>
    </w:p>
    <w:p>
      <w:r>
        <w:t xml:space="preserve">Sicherheit oder Ordnung führt oder eine Gewässerverunreinigung</w:t>
      </w:r>
    </w:p>
    <w:p>
      <w:r>
        <w:t xml:space="preserve">verursacht, so hat der Schiffsführer oder der von ihm Beauftragte</w:t>
      </w:r>
    </w:p>
    <w:p>
      <w:r>
        <w:t xml:space="preserve">unverzüglich den Hafenbetreiber und die Feuerwehr sowie die untere</w:t>
      </w:r>
    </w:p>
    <w:p>
      <w:r>
        <w:t xml:space="preserve">Wasserbehörde zu informieren. Gleichzeitig sind durch den Verursacher</w:t>
      </w:r>
    </w:p>
    <w:p>
      <w:r>
        <w:t xml:space="preserve">Maßnahmen zur Schadenseindämmung und Schadensbekämpfung</w:t>
      </w:r>
    </w:p>
    <w:p>
      <w:r>
        <w:t xml:space="preserve">einzuleiten.</w:t>
      </w:r>
    </w:p>
    <w:p>
      <w:r>
        <w:t xml:space="preserve">(2) Ist ein Fahrzeug, eine schwimmende Anlage oder ein</w:t>
      </w:r>
    </w:p>
    <w:p>
      <w:r>
        <w:t xml:space="preserve">sonstiger Gegenstand, der den Hafenverkehr behindern kann, gesunken, so ist der</w:t>
      </w:r>
    </w:p>
    <w:p>
      <w:r>
        <w:t xml:space="preserve">Schiffsführer oder der von ihm Beauftragte verpflichtet, die obere</w:t>
      </w:r>
    </w:p>
    <w:p>
      <w:r>
        <w:t xml:space="preserve">Verkehrsbehörde, die Feuerwehr und die untere Wasserbehörde zu</w:t>
      </w:r>
    </w:p>
    <w:p>
      <w:r>
        <w:t xml:space="preserve">benachrichtigen. Er hat ebenfalls dafür zu sorgen, daß der gesunkene</w:t>
      </w:r>
    </w:p>
    <w:p>
      <w:r>
        <w:t xml:space="preserve">Gegenstand auf Anordnung des Hafenbetreibers unverzüglich gehoben und</w:t>
      </w:r>
    </w:p>
    <w:p>
      <w:r>
        <w:t xml:space="preserve">entsorgt wird sowie die sich daraus ergebenden Folgeschäden beseitigt</w:t>
      </w:r>
    </w:p>
    <w:p>
      <w:r>
        <w:t xml:space="preserve">werden. Soweit eine Verunreinigung der Gewässer oder eine sonstige</w:t>
      </w:r>
    </w:p>
    <w:p>
      <w:r>
        <w:t xml:space="preserve">Veränderung ihrer Eigenschaften abzusehen ist, sind unverzüglich</w:t>
      </w:r>
    </w:p>
    <w:p>
      <w:r>
        <w:t xml:space="preserve">Maßnahmen zu ihrer Eindämmung oder zur Verhinderung einzuleiten.</w:t>
      </w:r>
    </w:p>
    <w:p>
      <w:r>
        <w:t xml:space="preserve">(3) Absatz 2 gilt auch im Zusammenhang mit dem Freiwerden</w:t>
      </w:r>
    </w:p>
    <w:p>
      <w:r>
        <w:t xml:space="preserve">gefährlicher Güter im Hafen.</w:t>
      </w:r>
    </w:p>
    <w:p>
      <w:r>
        <w:t xml:space="preserve">(4) Der Hafenbetreiber hat zur Gewährleistung des</w:t>
      </w:r>
    </w:p>
    <w:p>
      <w:r>
        <w:t xml:space="preserve">Brandschutzes, des Gewässerschutzes und der technischen Hilfeleistung</w:t>
      </w:r>
    </w:p>
    <w:p>
      <w:r>
        <w:t xml:space="preserve">einen Einsatzplan in Abstimmung mit den zuständigen Trägern des</w:t>
      </w:r>
    </w:p>
    <w:p>
      <w:r>
        <w:t xml:space="preserve">Brandschutzes und der unteren Wasserbehörde zu erarbeiten und</w:t>
      </w:r>
    </w:p>
    <w:p>
      <w:r>
        <w:t xml:space="preserve">jährlich zu präzisieren. Der Hafenbetreiber hat regelmäßig</w:t>
      </w:r>
    </w:p>
    <w:p>
      <w:r>
        <w:t xml:space="preserve">Einsatzübungen durchzuführen.</w:t>
      </w:r>
    </w:p>
    <w:p>
      <w:r>
        <w:rPr>
          <w:color w:val="555555"/>
          <w:sz w:val="17"/>
        </w:rPr>
        <w:t xml:space="preserve">Zitiervorschlag: § 13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