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LHafenV (Brandenburg) — Rettungsmittel und -geräte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Hafenbetreiber hat auf den Kaianlagen, Brücken,</w:t>
      </w:r>
    </w:p>
    <w:p>
      <w:r>
        <w:t xml:space="preserve">Anlegern, Stegen und sonstigen Hafenanlagen sowie an den Ufern der</w:t>
      </w:r>
    </w:p>
    <w:p>
      <w:r>
        <w:t xml:space="preserve">Wasserflächen des Hafens Rettungsmittel oder -geräte in geeigneter</w:t>
      </w:r>
    </w:p>
    <w:p>
      <w:r>
        <w:t xml:space="preserve">Art und Anzahl und an leicht zugänglichen Orten bereitzustellen.</w:t>
      </w:r>
    </w:p>
    <w:p>
      <w:r>
        <w:t xml:space="preserve">(2) Die Rettungsmittel und -geräte müssen in</w:t>
      </w:r>
    </w:p>
    <w:p>
      <w:r>
        <w:t xml:space="preserve">gebrauchsfähigem Zustand gehalten werden.</w:t>
      </w:r>
    </w:p>
    <w:p>
      <w:r>
        <w:rPr>
          <w:color w:val="555555"/>
          <w:sz w:val="17"/>
        </w:rPr>
        <w:t xml:space="preserve">Zitiervorschlag: § 12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