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LHafenV (Brandenburg) — Schädlingsbekämpfung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Begasen von Wasserfahrzeugen und deren Ladung zum</w:t>
      </w:r>
    </w:p>
    <w:p>
      <w:r>
        <w:t xml:space="preserve">Zwecke der Schädlingsbekämpfung ist nur mit Erlaubnis des</w:t>
      </w:r>
    </w:p>
    <w:p>
      <w:r>
        <w:t xml:space="preserve">Hafenbetreibers auf den von der oberen Verkehrsbehörde zugelassenen</w:t>
      </w:r>
    </w:p>
    <w:p>
      <w:r>
        <w:t xml:space="preserve">Liegestellen zulässig. Diese Art der Schädlingsbekämpfung darf</w:t>
      </w:r>
    </w:p>
    <w:p>
      <w:r>
        <w:t xml:space="preserve">nur durch solche Unternehmen durchgeführt werden, die die Bestimmungen der</w:t>
      </w:r>
    </w:p>
    <w:p>
      <w:r>
        <w:t xml:space="preserve">§§ 15 d und 15 e sowie des Anhangs V Nr. 5 und 6 der</w:t>
      </w:r>
    </w:p>
    <w:p>
      <w:r>
        <w:t xml:space="preserve">Gefahrstoffverordnung erfüllen.</w:t>
      </w:r>
    </w:p>
    <w:p>
      <w:r>
        <w:t xml:space="preserve">(2) Während einer Begasung darf das jeweilige Fahrzeug</w:t>
      </w:r>
    </w:p>
    <w:p>
      <w:r>
        <w:t xml:space="preserve">nicht in unmittelbarer Verbindung mit anderen Fahrzeugen stehen.</w:t>
      </w:r>
    </w:p>
    <w:p>
      <w:r>
        <w:rPr>
          <w:color w:val="555555"/>
          <w:sz w:val="17"/>
        </w:rPr>
        <w:t xml:space="preserve">Zitiervorschlag: § 11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