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LHafenV (Brandenburg) — Geltungsbereich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alle Häfen im Land</w:t>
      </w:r>
    </w:p>
    <w:p>
      <w:r>
        <w:t xml:space="preserve">Brandenburg.</w:t>
      </w:r>
    </w:p>
    <w:p>
      <w:r>
        <w:t xml:space="preserve">(2) Häfen im Sinne dieser Verordnung sind auch Lade-,</w:t>
      </w:r>
    </w:p>
    <w:p>
      <w:r>
        <w:t xml:space="preserve">Lösch- und Umschlagstellen sowie sonstige Anlagen, die zum Be- und</w:t>
      </w:r>
    </w:p>
    <w:p>
      <w:r>
        <w:t xml:space="preserve">Entladen von Binnenschiffen geeignet sind.</w:t>
      </w:r>
    </w:p>
    <w:p>
      <w:r>
        <w:t xml:space="preserve">(3) Diese Verordnung gilt nicht für:</w:t>
      </w:r>
    </w:p>
    <w:p>
      <w:r>
        <w:t xml:space="preserve">bundeseigene Schutz- und Sicherheitshäfen;</w:t>
      </w:r>
    </w:p>
    <w:p>
      <w:r>
        <w:t xml:space="preserve">Häfen, die ausschließlich der Sport- und Freizeitschiffahrt</w:t>
      </w:r>
    </w:p>
    <w:p>
      <w:r>
        <w:t xml:space="preserve">dienen.</w:t>
      </w:r>
    </w:p>
    <w:p>
      <w:r>
        <w:t xml:space="preserve">(4) Das Gebiet eines Hafens nach den Absätzen 1 und 2</w:t>
      </w:r>
    </w:p>
    <w:p>
      <w:r>
        <w:t xml:space="preserve">umfaßt:</w:t>
      </w:r>
    </w:p>
    <w:p>
      <w:r>
        <w:t xml:space="preserve">die Land- und Wasserflächen innerhalb der gekennzeichneten und</w:t>
      </w:r>
    </w:p>
    <w:p>
      <w:r>
        <w:t xml:space="preserve">öffentlich bekanntgemachten Hafengrenzen;</w:t>
      </w:r>
    </w:p>
    <w:p>
      <w:r>
        <w:t xml:space="preserve">die innerhalb eines Betriebes oder Unternehmens für den Umschlag auf</w:t>
      </w:r>
    </w:p>
    <w:p>
      <w:r>
        <w:t xml:space="preserve">oder von Wasserfahrzeugen vorgesehene Fläche.</w:t>
      </w:r>
    </w:p>
    <w:p>
      <w:r>
        <w:t xml:space="preserve">(5) Die Grenzen des Hafengebietes sind der oberen</w:t>
      </w:r>
    </w:p>
    <w:p>
      <w:r>
        <w:t xml:space="preserve">Verkehrsbehörde zur Kenntnis zu geben und vom Hafenbetreiber durch</w:t>
      </w:r>
    </w:p>
    <w:p>
      <w:r>
        <w:t xml:space="preserve">entsprechende Beschilderung zu kennzeichnen.</w:t>
      </w:r>
    </w:p>
    <w:p>
      <w:r>
        <w:t xml:space="preserve">(6) Für zeitweilige Lade-, Lösch- und</w:t>
      </w:r>
    </w:p>
    <w:p>
      <w:r>
        <w:t xml:space="preserve">Umschlagstellen gelten die in der Genehmigung festgelegten Grenzen.</w:t>
      </w:r>
    </w:p>
    <w:p>
      <w:r>
        <w:rPr>
          <w:color w:val="555555"/>
          <w:sz w:val="17"/>
        </w:rPr>
        <w:t xml:space="preserve">Zitiervorschlag: § 1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