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LHafGebO (Brandenburg) — Inkrafttreten</w:t>
      </w:r>
    </w:p>
    <w:p>
      <w:r>
        <w:rPr>
          <w:color w:val="555555"/>
          <w:sz w:val="18"/>
        </w:rPr>
        <w:t xml:space="preserve">Verordnung über die Erhebung von Verwaltungsgebühren für Amtshandlungen nach der 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23. Februar 1998</w:t>
      </w:r>
    </w:p>
    <w:p>
      <w:r>
        <w:t xml:space="preserve">Der Minister für Stadtentwicklung, Wohnen und</w:t>
      </w:r>
    </w:p>
    <w:p>
      <w:r>
        <w:t xml:space="preserve">Verkehr</w:t>
      </w:r>
    </w:p>
    <w:p>
      <w:r>
        <w:t xml:space="preserve">Hartmut Meyer</w:t>
      </w:r>
    </w:p>
    <w:p>
      <w:r>
        <w:rPr>
          <w:color w:val="555555"/>
          <w:sz w:val="17"/>
        </w:rPr>
        <w:t xml:space="preserve">Zitiervorschlag: § 3 LHafGebO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https://recht.nulegal.eu/gesetze/LHafGebO/3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