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LHafGebO (Brandenburg) — Übergangsregelung</w:t>
      </w:r>
    </w:p>
    <w:p>
      <w:r>
        <w:rPr>
          <w:color w:val="555555"/>
          <w:sz w:val="18"/>
        </w:rPr>
        <w:t xml:space="preserve">Verordnung über die Erhebung von Verwaltungsgebühren für Amtshandlungen nach der 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Amtshandlungen, die nach dem Inkrafttreten der</w:t>
      </w:r>
    </w:p>
    <w:p>
      <w:r>
        <w:t xml:space="preserve">Landeshafenverordnung, jedoch vor Inkrafttreten dieser Verordnung vorgenommen</w:t>
      </w:r>
    </w:p>
    <w:p>
      <w:r>
        <w:t xml:space="preserve">worden sind, können Gebühren nach § 1 erhoben werden, soweit bei</w:t>
      </w:r>
    </w:p>
    <w:p>
      <w:r>
        <w:t xml:space="preserve">den Amtshandlungen die Gebührenerhebung ausdrücklich vorbehalten</w:t>
      </w:r>
    </w:p>
    <w:p>
      <w:r>
        <w:t xml:space="preserve">worden ist.</w:t>
      </w:r>
    </w:p>
    <w:p>
      <w:r>
        <w:rPr>
          <w:color w:val="555555"/>
          <w:sz w:val="17"/>
        </w:rPr>
        <w:t xml:space="preserve">Zitiervorschlag: § 2 LHafGebO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