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LHafGebO (Brandenburg) — Gebühren</w:t>
      </w:r>
    </w:p>
    <w:p>
      <w:r>
        <w:rPr>
          <w:color w:val="555555"/>
          <w:sz w:val="18"/>
        </w:rPr>
        <w:t xml:space="preserve">Verordnung über die Erhebung von Verwaltungsgebühren für Amtshandlungen nach der 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Amtshandlungen nach der Landeshafenverordnung erhebt</w:t>
      </w:r>
    </w:p>
    <w:p>
      <w:r>
        <w:t xml:space="preserve">die obere Verkehrsbehörde Verwaltungsgebühren nach Maßgabe</w:t>
      </w:r>
    </w:p>
    <w:p>
      <w:r>
        <w:t xml:space="preserve">dieser Verordnung und dem als Anlage beigefügten Gebührentarif, der</w:t>
      </w:r>
    </w:p>
    <w:p>
      <w:r>
        <w:t xml:space="preserve">Bestandteil dieser Verordnung ist.</w:t>
      </w:r>
    </w:p>
    <w:p>
      <w:r>
        <w:rPr>
          <w:color w:val="555555"/>
          <w:sz w:val="17"/>
        </w:rPr>
        <w:t xml:space="preserve">Zitiervorschlag: § 1 LHafGebO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https://recht.nulegal.eu/gesetze/LHafGebO/1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