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LHO (Brandenburg) — Prüfungsergebnis</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Landesrechnungshof teilt das Prüfungsergebnis unverzüglich den zuständigen Stellen zur Äußerung innerhalb einer von ihm zu bestimmenden Frist mit. Er hat es auch anderen Dienststellen mitzuteilen, soweit er dies aus besonderen Gründen, insbesondere zur Durchsetzung eines Schadenersatzanspruchs, für erforderlich hält. Von einer Mitteilung kann er absehen, wenn es sich um unerhebliche Mängel handelt oder Weiterungen oder Kosten zu erwarten sind, die in keinem angemessenen Verhältnis zu der Bedeutung der Angelegenheit stehen würden.</w:t>
      </w:r>
    </w:p>
    <w:p>
      <w:r>
        <w:t xml:space="preserve">(2) Prüfungsergebnisse von grundsätzlicher oder erheblicher finanzieller Bedeutung teilt der Landesrechnungshof dem Ministerium der Finanzen mit.</w:t>
      </w:r>
    </w:p>
    <w:p>
      <w:r>
        <w:rPr>
          <w:color w:val="555555"/>
          <w:sz w:val="17"/>
        </w:rPr>
        <w:t xml:space="preserve">Zitiervorschlag: § 96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