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95 LHO (Brandenburg) — Auskunftspflicht</w:t>
      </w:r>
    </w:p>
    <w:p>
      <w:r>
        <w:rPr>
          <w:color w:val="555555"/>
          <w:sz w:val="18"/>
        </w:rPr>
        <w:t xml:space="preserve">Landeshaushaltsordnung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Unterlagen, die der Landesrechnungshof zur Erfüllung seiner Aufgaben für erforderlich hält, sind ihm auf Verlangen innerhalb einer von ihm zu bestimmenden Frist zu übersenden oder seinen Beauftragten vorzulegen.</w:t>
      </w:r>
    </w:p>
    <w:p>
      <w:r>
        <w:t xml:space="preserve">(2) Dem Landesrechnungshof und seinen Beauftragten sind die erbetenen Auskünfte zu erteilen.</w:t>
      </w:r>
    </w:p>
    <w:p>
      <w:r>
        <w:rPr>
          <w:color w:val="555555"/>
          <w:sz w:val="17"/>
        </w:rPr>
        <w:t xml:space="preserve">Zitiervorschlag: § 95 LHO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https://recht.nulegal.eu/gesetze/LHO/95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