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70 LHO (Brandenburg) — Zahlungen</w:t>
      </w:r>
    </w:p>
    <w:p>
      <w:r>
        <w:rPr>
          <w:color w:val="555555"/>
          <w:sz w:val="18"/>
        </w:rPr>
        <w:t xml:space="preserve">Landeshaushaltsordnung</w:t>
      </w:r>
    </w:p>
    <w:p>
      <w:r>
        <w:rPr>
          <w:color w:val="555555"/>
          <w:sz w:val="18"/>
        </w:rPr>
        <w:t xml:space="preserve">Landesrecht Brandenburg</w:t>
      </w:r>
    </w:p>
    <w:p>
      <w:r>
        <w:rPr>
          <w:color w:val="555555"/>
          <w:sz w:val="18"/>
        </w:rPr>
        <w:t xml:space="preserve">Stand: 30.07.2026 (konsolidierte Textfassung, kein amtliches Inkrafttretensdatum)</w:t>
      </w:r>
    </w:p>
    <w:p>
      <w:r>
        <w:t xml:space="preserve">Zahlungen dürfen nur von Kassen und Zahlstellen angenommen und geleistet werden. Die Anordnung der Zahlung muß durch das zuständige Ministerium oder die von ihm ermächtigte Dienststelle schriftlich oder auf elektronischem Wege erteilt werden. Das Ministerium der Finanzen kann Ausnahmen zulassen.</w:t>
      </w:r>
    </w:p>
    <w:p>
      <w:r>
        <w:rPr>
          <w:color w:val="555555"/>
          <w:sz w:val="17"/>
        </w:rPr>
        <w:t xml:space="preserve">Zitiervorschlag: § 70 LHO (Brandenburg)</w:t>
      </w:r>
    </w:p>
    <w:p>
      <w:r>
        <w:rPr>
          <w:color w:val="555555"/>
          <w:sz w:val="17"/>
        </w:rPr>
        <w:t xml:space="preserve">Quelle: BRAVORS, abgerufen 30.07.2026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https://recht.nulegal.eu/gesetze/LHO/70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