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LHO (Brandenburg) — Rücklagen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Sicherung des gesamtwirtschaftlichen Gleichgewichts ist unter den Voraussetzungen des Gesetzes zur Förderung der Stabilität und des Wachstums der Wirtschaft eine Konjunkturausgleichsrücklage zu bilden.</w:t>
      </w:r>
    </w:p>
    <w:p>
      <w:r>
        <w:t xml:space="preserve">(2) Darüber hinaus kann eine allgemeine Rücklage gebildet werden. In ihr sind mindestens so viel Mittel anzusammeln, daß der regelmäßige Bedarf an Betriebsmitteln gedeckt wird.</w:t>
      </w:r>
    </w:p>
    <w:p>
      <w:r>
        <w:t xml:space="preserve">(3) Weitere Rücklagen werden nicht gebildet. In besonderen Fällen können im Haushaltsgesetz Ausnahmen zugelassen werden. § 113 Abs. 2 bleibt unberührt.</w:t>
      </w:r>
    </w:p>
    <w:p>
      <w:r>
        <w:rPr>
          <w:color w:val="555555"/>
          <w:sz w:val="17"/>
        </w:rPr>
        <w:t xml:space="preserve">Zitiervorschlag: § 62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https://recht.nulegal.eu/gesetze/LHO/62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