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LHO (Brandenburg) — Vorleistungen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Vor Empfang der Gegenleistung dürfen Leistungen des Landes nur vereinbart oder bewirkt werden, wenn dies allgemein üblich oder durch besondere Umstände gerechtfertigt ist.</w:t>
      </w:r>
    </w:p>
    <w:p>
      <w:r>
        <w:t xml:space="preserve">(2) Werden Zahlungen vor Fälligkeit an das Land entrichtet, kann nach Richtlinien des Ministeriums der Finanzen ein angemessener Abzug gewährt werden.</w:t>
      </w:r>
    </w:p>
    <w:p>
      <w:r>
        <w:rPr>
          <w:color w:val="555555"/>
          <w:sz w:val="17"/>
        </w:rPr>
        <w:t xml:space="preserve">Zitiervorschlag: § 56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https://recht.nulegal.eu/gesetze/LHO/56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