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LHO (Brandenburg) — Sachliche und zeitliche Bindung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Ausgaben und Verpflichtungsermächtigungen dürfen nur zu dem im Haushaltsplan bezeichneten Zweck, soweit und solange er fortdauert, und nur bis zum Ende des Haushaltsjahres geleistet oder in Anspruch genommen werden. Nicht in Anspruch genommene Verpflichtungsermächtigungen gelten, wenn das Haushaltsgesetz für das nächste Haushaltsjahr nicht rechtzeitig verkündet wird, bis zur Verkündung dieses Haushaltsgesetzes.</w:t>
      </w:r>
    </w:p>
    <w:p>
      <w:r>
        <w:t xml:space="preserve">(2) Bei übertragbaren Ausgaben können Ausgabereste gebildet werden, die für die jeweilige Zweckbestimmung über das Haushaltsjahr hinaus bis zum Ende des auf die Bewilligung folgenden zweitnächsten Haushaltsjahres verfügbar bleiben. Bei Bauten tritt an die Stelle des Haushaltsjahres der Bewilligung das Haushaltsjahr, in dem der Bau in seinen wesentlichen Teilen in Gebrauch genommen ist. Das Ministerium der Finanzen kann im Einzelfall Ausnahmen zulassen.</w:t>
      </w:r>
    </w:p>
    <w:p>
      <w:r>
        <w:t xml:space="preserve">(3) Die Bildung und die Inanspruchnahme von Ausgaberesten sowie die Inanspruchnahme nicht ausgeschöpfter Verpflichtungsermächtigungen nach Absatz 1 Satz 2 bedürfen der Einwilligung des Ministeriums der Finanzen. Das Ministerium der Finanzen darf seine Einwilligung in die Inanspruchnahme von Ausgaberesten nur erteilen, wenn veranschlagte Ausgaben in gleicher Höhe bis zum Ende des Haushaltsjahres nicht geleistet werden oder wenn Ausgabemittel zur Deckung der Ausgabereste veranschlagt worden sind (§ 19 Abs. 2). Hiervon ausgenommen sind</w:t>
      </w:r>
    </w:p>
    <w:p>
      <w:r>
        <w:t xml:space="preserve">Ausgabereste aus den Zuweisungen des allgemeinen Steuerverbundes und des Kraftfahrzeugsteuerverbundes, die den Gemeinden und Gemeindeverbänden durch das Land zur Verfügung gestellt worden sind, und</w:t>
      </w:r>
    </w:p>
    <w:p>
      <w:r>
        <w:t xml:space="preserve">Ausgabereste, denen zweckgebundene Einnahmen gegenüberstehen.</w:t>
      </w:r>
    </w:p>
    <w:p>
      <w:r>
        <w:t xml:space="preserve">(4) Das Ministerium der Finanzen kann in besonders begründeten Einzelfällen die Übertragbarkeit von Ausgaben zulassen, soweit Ausgaben für bereits bewilligte Maßnahmen noch im nächsten Haushaltsjahr zu leisten sind.</w:t>
      </w:r>
    </w:p>
    <w:p>
      <w:r>
        <w:rPr>
          <w:color w:val="555555"/>
          <w:sz w:val="17"/>
        </w:rPr>
        <w:t xml:space="preserve">Zitiervorschlag: § 45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