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LHO (Brandenburg) — Überschuß, Fehlbetrag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Überschuß oder der Fehlbetrag ist der Unterschied zwischen den tatsächlich eingegangenen Einnahmen (Ist-Einnahmen) und den tatsächlich geleisteten Ausgaben (Ist-Ausgaben).</w:t>
      </w:r>
    </w:p>
    <w:p>
      <w:r>
        <w:t xml:space="preserve">(2) Ein Überschuß ist zur Verminderung des Kreditbedarfs oder zur Tilgung von Schulden zu verwenden oder einer Rücklage nach § 62 zuzuführen. Übersteigt der Bestand der allgemeinen Rücklage gemäß § 62 Absatz 2 unter Berücksichtigung des zuzuführenden Überschusses den Betrag von 1 000 Millionen Euro, so sollen darüber hinausgehende Überschussteile mindestens hälftig zur Tilgung verwandt werden. Ein danach noch verbleibender Überschuß ist in den nächsten festzustellenden Haushaltsplan als Einnahme einzustellen. § 6 Abs. 1 Satz 3 in Verbindung mit § 14 des Gesetzes zur Förderung der Stabilität und des Wachstums der Wirtschaft vom 8. Juni 1967 ( BGBl. I S. 582) bleibt unberührt.</w:t>
      </w:r>
    </w:p>
    <w:p>
      <w:r>
        <w:t xml:space="preserve">(3) Ein Fehlbetrag ist spätestens in den Haushaltsplan für das zweitnächste Haushaltsjahr einzustellen. Er darf durch Einnahmen aus Krediten nur gedeckt werden, soweit die Möglichkeiten einer Kreditaufnahme nicht ausgeschöpft sind.</w:t>
      </w:r>
    </w:p>
    <w:p>
      <w:r>
        <w:rPr>
          <w:color w:val="555555"/>
          <w:sz w:val="17"/>
        </w:rPr>
        <w:t xml:space="preserve">Zitiervorschlag: § 25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