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LHO (Brandenburg) — Konjunkturbedingte Abweichung</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Abweichung von dem in § 18 Absatz 1 Satz 1 niedergelegten Grundsatz ist auf Basis einer im Auf- und Abschwung symmetrischen Berücksichtigung der haushaltsmäßigen Auswirkungen einer von der wirtschaftlichen Normallage abweichenden konjunkturellen Entwicklung zulässig.</w:t>
      </w:r>
    </w:p>
    <w:p>
      <w:r>
        <w:t xml:space="preserve">(2) Zur Bestimmung der Auswirkungen einer Abweichung von der wirtschaftlichen Normallage auf den Haushalt wird durch das für Finanzen zuständige Ministerium eine ex ante-Konjunkturkomponente gemäß Absatz 3 ermittelt. Ergibt sich eine negative Abweichung von der wirtschaftlichen Normallage, können bis zur Höhe der ex ante-Konjunkturkomponente Einnahmen aus Krediten veranschlagt werden. Die durch eine positive Abweichung von der Normallage bedingten Überschüsse sind zur Tilgung konjunkturbedingter Kredite zu veranschlagen, sofern diese nicht vor dem Haushaltsjahr 2020 aufgenommen wurden. § 18 Absatz 1 Satz 3 und 4 ist bei der Ermittlung der zulässigen konjunkturbedingten Kreditaufnahme oder der konjunkturbedingten Tilgungsverpflichtung zu berücksichtigen.</w:t>
      </w:r>
    </w:p>
    <w:p>
      <w:r>
        <w:t xml:space="preserve">(3) Die ex ante-Konjunkturkomponente wird bei der Haushaltsaufstellung auf der Grundlage des für den Bundeshaushalt geltenden Konjunkturbereinigungsverfahrens bestimmt. Dabei ist das für die ex ante-Konjunkturkomponente relevante Produktionspotenzial für eine konjunkturbedingte Kreditaufnahme unter Berücksichtigung früherer gesamtwirtschaftlicher Projektionen über einen Zeitraum von zehn Jahren unter Wahrung des Symmetriegebots zu ermitteln. Der kommunale Anteil kann bei der Berechnung der ex ante-Konjunkturkomponente einbezogen werden. Im Fall von Doppelhaushalten ist die Konjunkturkomponente getrennt nach Haushaltsjahren zu berechnen. Die Schätzung der Einnahmen hat hierbei die letzte verfügbare gesamtwirtschaftliche Projektion zugrunde zu liegen, die auch Bestandteil der Ermittlung der ex ante-Konjunkturkomponente ist.</w:t>
      </w:r>
    </w:p>
    <w:p>
      <w:r>
        <w:t xml:space="preserve">(4) Konjunkturbedingte Nettokreditaufnahmen und Tilgungen, die ab dem Jahr 2020 erfolgen, werden jahresübergreifend auf einem Kreditaufnahmekonto erfasst. Der Saldo des Kreditaufnahmekontos kann nicht negativ werden. Sofern der Saldo des Kreditaufnahmekontos im Vorjahr des betrachteten Jahres kleiner ist als die positive Konjunkturkomponente im betrachteten Jahr, ist die Anrechnung der Konjunkturkomponente in ihrer Höhe auf den Saldo des Kreditaufnahmekontos begrenzt. In diesem Fall wird die Differenz zwischen der positiven Konjunkturkomponente im betrachteten Jahr und dem Saldo des Kreditaufnahmekontos im Vorjahr des betrachteten Jahres durch eine Abzugsposition erfasst. Gemäß § 25 Absatz 2 Satz 2 getätigte Tilgungen vermindern die Abzugsposition. Diese wird im Rahmen der Berechnung der strukturellen Nettokreditaufnahme von der positiven Konjunkturkomponente im betrachteten Jahr abgezogen.</w:t>
      </w:r>
    </w:p>
    <w:p>
      <w:r>
        <w:t xml:space="preserve">(5) Die beim Jahresabschluss zu berechnende ex post-Konjunkturkomponente entspricht dem konjunkturbedingten Überschuss oder der zulässigen konjunkturbedingten Kreditaufnahme. Die ex post-Konjunkturkomponente besteht aus der ex ante-Konjunkturkomponente nach Absatz 3 und der Steuerabweichungskomponente nach Absatz 6.</w:t>
      </w:r>
    </w:p>
    <w:p>
      <w:r>
        <w:t xml:space="preserve">(6) Die Steuerabweichungskomponente errechnet sich als Differenz zwischen den bei der Haushaltsaufstellung für das jeweilige Haushaltsjahr veranschlagten Einnahmen aus Steuern, allgemeinen Bundesergänzungszuweisungen und Bundesergänzungszuweisungen zum Ausgleich besonders geringer kommunaler Steuerkraft und den tatsächlich bei diesen Titeln im Haushaltsjahr verbuchten Einnahmen. Die Differenz ist um die Auswirkungen von Rechtsänderungen zu bereinigen, die bei der Haushaltsaufstellung nicht berücksichtigt wurden und die bis zum Ende des Haushaltsjahres kassenwirksam geworden sind.</w:t>
      </w:r>
    </w:p>
    <w:p>
      <w:r>
        <w:t xml:space="preserve">(7) Eine strukturelle Nettokreditaufnahme oder strukturelle Tilgung wird mit dem Jahresabschluss auf einem jahresübergreifenden Kontrollkonto erfasst. Der Stand des Kontrollkontos wird beim Jahresabschluss ausgewiesen. Ist der Saldo des Kontrollkontos positiv und überschreitet der absolute Betrag 5,0 Prozent der Einnahmen aus Steuern, allgemeinen Bundesergänzungszuweisungen und Bundesergänzungszuweisungen zum Ausgleich besonders geringer kommunaler Steuerkraft des abgelaufenen Haushaltsjahres, so ist mit dem nächsten aufzustellenden Haushalt in Höhe der Überschreitung des Grenzwertes eine Verringerung der nach Absatz 2 Satz 2 zulässigen Nettokreditaufnahme vorzunehmen oder eine Tilgung zu veranschlagen.</w:t>
      </w:r>
    </w:p>
    <w:p>
      <w:r>
        <w:rPr>
          <w:color w:val="555555"/>
          <w:sz w:val="17"/>
        </w:rPr>
        <w:t xml:space="preserve">Zitiervorschlag: § 18a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https://recht.nulegal.eu/gesetze/LHO/18a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