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LHO (Brandenburg) — Sonderregelungen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Auf die landesunmittelbaren Träger der gesetzlichen Krankenversicherung, der sozialen Pflegeversicherung, der gesetzlichen Unfallversicherung und der gesetzlichen Rentenversicherung ist nur § 111 Abs. 1 Satz 2 anzuwenden, und zwar nur dann, wenn sie aufgrund eines Landesgesetzes vom Land Zuschüsse erhalten oder eine Garantieverpflichtung des Landes gesetzlich begründet ist. Auf die Verbände der in Satz 1 genannten Sozialversicherungsträger ist unabhängig von ihrer Rechtsform § 111 Abs. 1 und 2 anzuwenden, wenn Mitglieder dieser Verbände der Prüfung durch den Landesrechnungshof unterliegen. Auf sonstige Vereinigungen auf dem Gebiet der Sozialversicherung finden die Vorschriften dieses Gesetzes keine Anwendung.</w:t>
      </w:r>
    </w:p>
    <w:p>
      <w:r>
        <w:t xml:space="preserve">(2) Auf Unternehmen in der Rechtsform einer landesunmittelbaren juristischen Person des öffentlichen Rechts sind unabhängig von der Höhe der Beteiligung des Landes § 65 Abs. 1 Nr. 3 und 4 und Abs. 2, 3 und 4, § 68 Abs. 1 und § 69 entsprechend, § 111 Abs. 1 und 2 unmittelbar anzuwenden. Dies gilt nicht für die Sparkassen, die Girozentrale sowie die Sparkassen- und Giroverbände im Sinne des Sparkassengesetzes.</w:t>
      </w:r>
    </w:p>
    <w:p>
      <w:r>
        <w:t xml:space="preserve">(3) Für Unternehmen in der Rechtsform einer juristischen Person des privaten Rechts, an denen die in Absatz 2 genannten Unternehmen unmittelbar oder mittelbar mit Mehrheit beteiligt sind, gelten die §§ 53 und 54 des Haushaltsgrundsätzegesetzes und die §§ 65 bis 69 entsprechend.</w:t>
      </w:r>
    </w:p>
    <w:p>
      <w:r>
        <w:rPr>
          <w:color w:val="555555"/>
          <w:sz w:val="17"/>
        </w:rPr>
        <w:t xml:space="preserve">Zitiervorschlag: § 112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