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LHO (Brandenburg) — Vollständigkeit und Einheit, Fälligkeitsprinzip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jedes Haushaltsjahr ist ein Haushaltsplan aufzustellen.</w:t>
      </w:r>
    </w:p>
    <w:p>
      <w:r>
        <w:t xml:space="preserve">(2) Der Haushaltsplan enthält alle im Haushaltsjahr</w:t>
      </w:r>
    </w:p>
    <w:p>
      <w:r>
        <w:t xml:space="preserve">zu erwartenden Einnahmen,</w:t>
      </w:r>
    </w:p>
    <w:p>
      <w:r>
        <w:t xml:space="preserve">voraussichtlich zu leistenden Ausgaben und</w:t>
      </w:r>
    </w:p>
    <w:p>
      <w:r>
        <w:t xml:space="preserve">voraussichtlich benötigten Verpflichtungsermächtigungen.</w:t>
      </w:r>
    </w:p>
    <w:p>
      <w:r>
        <w:rPr>
          <w:color w:val="555555"/>
          <w:sz w:val="17"/>
        </w:rPr>
        <w:t xml:space="preserve">Zitiervorschlag: § 11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