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LHO (Brandenburg) — Anhörung des Landesrechnungshofes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Landesrechnungshof ist vor dem Erlaß von allgemeinen Verwaltungsvorschriften zur Durchführung der Landeshaushaltsordnung zu hören.</w:t>
      </w:r>
    </w:p>
    <w:p>
      <w:r>
        <w:t xml:space="preserve">(2) Zu den Verwaltungsvorschriften im Sinne des Absatzes 1 gehören auch allgemeine Dienstanweisungen über die Verwaltung der Kassen und Zahlstellen, über die Buchführung und den Nachweis des Vermögens.</w:t>
      </w:r>
    </w:p>
    <w:p>
      <w:r>
        <w:rPr>
          <w:color w:val="555555"/>
          <w:sz w:val="17"/>
        </w:rPr>
        <w:t xml:space="preserve">Zitiervorschlag: § 103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