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 LHO (Brandenburg) — Unterrichtung des Landesrechnungshofes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Landesrechnungshof ist unverzüglich nach Entscheidung zu unterrichten, wenn</w:t>
      </w:r>
    </w:p>
    <w:p>
      <w:r>
        <w:t xml:space="preserve">oberste Landesbehörden allgemeine Vorschriften erlassen oder erläutern, welche die Bewirtschaftung der Haushaltsmittel des Landes betreffen oder sich auf dessen Einnahmen und Ausgaben auswirken,</w:t>
      </w:r>
    </w:p>
    <w:p>
      <w:r>
        <w:t xml:space="preserve">den Landeshaushalt berührende Verwaltungseinrichtungen oder Landesbetriebe geschaffen, wesentlich geändert oder aufgelöst werden,</w:t>
      </w:r>
    </w:p>
    <w:p>
      <w:r>
        <w:t xml:space="preserve">unmittelbare Beteiligungen des Landes oder mittelbare Beteiligungen im Sinne des § 65 Abs. 3 an Unternehmen begründet, wesentlich geändert oder aufgegeben werden,</w:t>
      </w:r>
    </w:p>
    <w:p>
      <w:r>
        <w:t xml:space="preserve">Vereinbarungen zwischen dem Land und einer Stelle außerhalb der Landesverwaltung oder zwischen obersten Landesbehörden über die Bewirtschaftung von Haushaltsmitteln des Landes getroffen werden,</w:t>
      </w:r>
    </w:p>
    <w:p>
      <w:r>
        <w:t xml:space="preserve">von den obersten Landesbehörden organisatorische oder sonstige Maßnahmen von erheblicher finanzieller Tragweite getroffen werden.</w:t>
      </w:r>
    </w:p>
    <w:p>
      <w:r>
        <w:t xml:space="preserve">(2) Dem Landesrechnungshof sind auf Anforderung Vorschriften oder Erläuterungen der in Absatz 1 Nr. 1 genannten Art auch dann mitzuteilen, wenn andere Stellen des Landes sie erlassen.</w:t>
      </w:r>
    </w:p>
    <w:p>
      <w:r>
        <w:t xml:space="preserve">(3) Der Landesrechnungshof kann sich jederzeit zu den in den Absätzen 1 und 2 genannten Maßnahmen äußern.</w:t>
      </w:r>
    </w:p>
    <w:p>
      <w:r>
        <w:rPr>
          <w:color w:val="555555"/>
          <w:sz w:val="17"/>
        </w:rPr>
        <w:t xml:space="preserve">Zitiervorschlag: § 102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https://recht.nulegal.eu/gesetze/LHO/102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