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LHBPO (Bayern) — Prüfungsunterlagen</w:t>
      </w:r>
    </w:p>
    <w:p>
      <w:r>
        <w:rPr>
          <w:color w:val="555555"/>
          <w:sz w:val="18"/>
        </w:rPr>
        <w:t xml:space="preserve">Prüfungsordnung Berufsbildung – Landwirtschaft und Hauswirtschaft</w:t>
      </w:r>
    </w:p>
    <w:p>
      <w:r>
        <w:rPr>
          <w:color w:val="555555"/>
          <w:sz w:val="18"/>
        </w:rPr>
        <w:t xml:space="preserve">Landesrecht Bayern</w:t>
      </w:r>
    </w:p>
    <w:p>
      <w:r>
        <w:rPr>
          <w:color w:val="555555"/>
          <w:sz w:val="18"/>
        </w:rPr>
        <w:t xml:space="preserve">Stand: 25.08.2026 (konsolidierte Textfassung, kein amtliches Inkrafttretensdatum)</w:t>
      </w:r>
    </w:p>
    <w:p>
      <w:r>
        <w:t xml:space="preserve">Die schriftlichen Prüfungsarbeiten sind zwei Jahre, die Prüfungsniederschriften (§ 11 Abs. 5) sind zehn Jahre aufzubewahren. Die Prüflinge können innerhalb eines Monats nach Bekanntgabe des Prüfungsergebnisses Einsicht in ihre Prüfungsunterlagen beantragen; Art. 29 und 30 BayVwVfG bleiben im Übrigen unberührt.</w:t>
      </w:r>
    </w:p>
    <w:p>
      <w:r>
        <w:rPr>
          <w:color w:val="555555"/>
          <w:sz w:val="17"/>
        </w:rPr>
        <w:t xml:space="preserve">Zitiervorschlag: § 13 LHBPO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https://recht.nulegal.eu/gesetze/LHBPO/13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