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LHAGebV (Brandenburg) — Inkrafttreten, Außerkrafttreten</w:t>
      </w:r>
    </w:p>
    <w:p>
      <w:r>
        <w:rPr>
          <w:color w:val="555555"/>
          <w:sz w:val="18"/>
        </w:rPr>
        <w:t xml:space="preserve">Landeshauptarchiv-Gebührenverordnung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Diese Verordnung tritt am Tag nach ihrer Verkündung in Kraft. Gleichzeitig tritt die Gebührenordnung für das Brandenburgische Landeshauptarchiv außer Kraft.</w:t>
      </w:r>
    </w:p>
    <w:p>
      <w:r>
        <w:t xml:space="preserve">Potsdam, den 14. August 2025</w:t>
      </w:r>
    </w:p>
    <w:p>
      <w:r>
        <w:t xml:space="preserve">Die Ministerin für Wissenschaft,</w:t>
      </w:r>
    </w:p>
    <w:p>
      <w:r>
        <w:t xml:space="preserve">Forschung und Kultur</w:t>
      </w:r>
    </w:p>
    <w:p>
      <w:r>
        <w:t xml:space="preserve">Dr. Manja Schüle</w:t>
      </w:r>
    </w:p>
    <w:p>
      <w:r>
        <w:rPr>
          <w:color w:val="555555"/>
          <w:sz w:val="17"/>
        </w:rPr>
        <w:t xml:space="preserve">Zitiervorschlag: § 5 LHAGebV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https://recht.nulegal.eu/gesetze/LHAGebV/5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