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LHABenV (Brandenburg) — Reproduktionen</w:t>
      </w:r>
    </w:p>
    <w:p>
      <w:r>
        <w:rPr>
          <w:color w:val="555555"/>
          <w:sz w:val="18"/>
        </w:rPr>
        <w:t xml:space="preserve">Landeshauptarchiv-Benutzungsverordnung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Lesesaal können Nutzende Reproduktionen von Archivgut anfertigen. Hierbei haben sie die urheberrechtlichen Bestimmungen zu beachten. Die Anfertigung kann untersagt werden, sofern Einschränkungen nach den §§ 9 bis 11 des Brandenburgischen Archivgesetzes entgegenstehen. Das Landeshauptarchiv kann die Benutzung nach Satz 1 unter Auflagen und Bedingungen gewähren. Näheres regelt die Lesesaalordnung.</w:t>
      </w:r>
    </w:p>
    <w:p>
      <w:r>
        <w:t xml:space="preserve">(2) Das Landeshauptarchiv oder eine von ihm beauftragte Stelle kann Reproduktionen von Archivgut, für das keine urheberrechtlichen, konservatorischen Gründe oder Einschränkungen nach den §§ 9 bis 11 des Brandenburgischen Archivgesetzes bestehen, anfertigen. Über das Reproduktionsverfahren entscheidet das Landeshauptarchiv. Ein Anspruch auf Anfertigung von Reproduktionen besteht nicht.</w:t>
      </w:r>
    </w:p>
    <w:p>
      <w:r>
        <w:t xml:space="preserve">(3) Auf Anfrage teilt das Landeshauptarchiv seinen Kenntnisstand über etwaige Nutzungsrechte am Archivgut mit.</w:t>
      </w:r>
    </w:p>
    <w:p>
      <w:r>
        <w:t xml:space="preserve">(4) Die Herkunft des zur Veröffentlichung gelangenden Archivguts soll unter Angabe der Einrichtung und der festgelegten Signatur angegeben werden.</w:t>
      </w:r>
    </w:p>
    <w:p>
      <w:r>
        <w:rPr>
          <w:color w:val="555555"/>
          <w:sz w:val="17"/>
        </w:rPr>
        <w:t xml:space="preserve">Zitiervorschlag: § 7 LHABenV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https://recht.nulegal.eu/gesetze/LHABenV/7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