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LHABenV (Brandenburg) — Rechtsschutzbestimmungen</w:t>
      </w:r>
    </w:p>
    <w:p>
      <w:r>
        <w:rPr>
          <w:color w:val="555555"/>
          <w:sz w:val="18"/>
        </w:rPr>
        <w:t xml:space="preserve">Landeshauptarchiv-Benutzungsverordnung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Bei der Verwertung und Veröffentlichung von aus Archivgut und Findmitteln gewonnenen Erkenntnissen sind Urheber- und Persönlichkeitsrechte, insbesondere das Datenschutzrecht und andere schutzwürdige Belange, zu wahren. Auf Verlangen verpflichtet sich die benutzende Person dazu, das Landeshauptarchiv hinsichtlich urheberrechtlicher Ansprüche von der Haftung freizustellen.</w:t>
      </w:r>
    </w:p>
    <w:p>
      <w:r>
        <w:t xml:space="preserve">(2) Bei der Benutzung von Archivgut, welches Schutzfristen nach § 10 des Brandenburgischen Archivgesetzes unterliegt oder bei dessen Benutzung schutzwürdige Belange Dritter nach § 11 Absatz 1 des Brandenburgischen Archivgesetzes zu beachten sind, sind die Nutzenden verpflichtet, die nach § 10 Absatz 5 sowie § 11 Absatz 3 des Brandenburgischen Archivgesetzes erteilten Bedingungen und Auflagen zu wahren.</w:t>
      </w:r>
    </w:p>
    <w:p>
      <w:r>
        <w:t xml:space="preserve">(3) Bei der Datenverarbeitung für wissenschaftliche oder historische Forschungszwecke bleibt § 25 des Brandenburgischen Datenschutzgesetzes vom 8. Mai 2018 (GVBl. I Nr. 7), das zuletzt durch Artikel 10 des Gesetzes vom 5. März 2024 (GVBl. I Nr. 9 S. 9) geändert worden ist, in der jeweils geltenden Fassung unberührt.</w:t>
      </w:r>
    </w:p>
    <w:p>
      <w:r>
        <w:rPr>
          <w:color w:val="555555"/>
          <w:sz w:val="17"/>
        </w:rPr>
        <w:t xml:space="preserve">Zitiervorschlag: § 5 LHABenV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https://recht.nulegal.eu/gesetze/LHABenV/5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