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LHABenV (Brandenburg) — Arten der Benutzung</w:t>
      </w:r>
    </w:p>
    <w:p>
      <w:r>
        <w:rPr>
          <w:color w:val="555555"/>
          <w:sz w:val="18"/>
        </w:rPr>
        <w:t xml:space="preserve">Landeshauptarchiv-Benutzungsverordnung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Benutzung erfolgt in der Regel durch persönliche Einsichtnahme im Landeshauptarchiv.</w:t>
      </w:r>
    </w:p>
    <w:p>
      <w:r>
        <w:t xml:space="preserve">(2) An die Stelle der persönlichen Einsichtnahme im Landeshauptarchiv können</w:t>
      </w:r>
    </w:p>
    <w:p>
      <w:r>
        <w:t xml:space="preserve">die mündliche, schriftliche oder elektronische Auskunftserteilung,</w:t>
      </w:r>
    </w:p>
    <w:p>
      <w:r>
        <w:t xml:space="preserve">die Bereitstellung von Reproduktionen des Archivguts sowie</w:t>
      </w:r>
    </w:p>
    <w:p>
      <w:r>
        <w:t xml:space="preserve">in Ausnahmefällen die Ausleihe von Archivgut treten.</w:t>
      </w:r>
    </w:p>
    <w:p>
      <w:r>
        <w:t xml:space="preserve">(3) Über die Benutzungsart entscheidet das Landeshauptarchiv. Es besteht kein Anspruch auf eine bestimmte Benutzungsart.</w:t>
      </w:r>
    </w:p>
    <w:p>
      <w:r>
        <w:rPr>
          <w:color w:val="555555"/>
          <w:sz w:val="17"/>
        </w:rPr>
        <w:t xml:space="preserve">Zitiervorschlag: § 2 LHABenV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https://recht.nulegal.eu/gesetze/LHABenV/2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