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LHABenV (Brandenburg) — Inkrafttreten, Außerkrafttreten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Brandenburgische Landeshauptarchiv-Benutzungsordnung vom 17. Februar 2000 ( GVBl. II S. 59), die durch Artikel 25 des Gesetzes vom 17. Dezember 2003 (GVBl. I S. 298, 309) geändert worden ist, außer Kraft.</w:t>
      </w:r>
    </w:p>
    <w:p>
      <w:r>
        <w:t xml:space="preserve">Potsdam, den 14. August 2025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11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