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LHABenV (Brandenburg) — Anwendungsbereich</w:t>
      </w:r>
    </w:p>
    <w:p>
      <w:r>
        <w:rPr>
          <w:color w:val="555555"/>
          <w:sz w:val="18"/>
        </w:rPr>
        <w:t xml:space="preserve">Landeshauptarchiv-Benutzungsverordnung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die Benutzung von Archivgut und Findmitteln des Brandenburgischen Landeshauptarchivs (Landeshauptarchiv).</w:t>
      </w:r>
    </w:p>
    <w:p>
      <w:r>
        <w:t xml:space="preserve">(2) Diese Verordnung gilt nicht für die Benutzung von Archivgut und Findmitteln, die in digitaler Form vom Landeshauptarchiv online frei zugänglich gestellt wurden. Dieses Archivgut und diese Findmittel sind gemeinfrei.</w:t>
      </w:r>
    </w:p>
    <w:p>
      <w:r>
        <w:rPr>
          <w:color w:val="555555"/>
          <w:sz w:val="17"/>
        </w:rPr>
        <w:t xml:space="preserve">Zitiervorschlag: § 1 LHABenV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https://recht.nulegal.eu/gesetze/LHABenV/1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