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LGVG (Brandenburg) — Verwaltungsvorschriften</w:t>
      </w:r>
    </w:p>
    <w:p>
      <w:r>
        <w:rPr>
          <w:color w:val="555555"/>
          <w:sz w:val="18"/>
        </w:rPr>
        <w:t xml:space="preserve">Grundstücksverwertungsgesetz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für das staatliche Liegenschafts- und Hochbaumanagement zuständige Ministerium erlässt im Einvernehmen mit dem für Finanzen zuständigen Ministerium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6 LGVG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https://recht.nulegal.eu/gesetze/LGVG/6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