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LGVG (Brandenburg) — Vertragliche Ausgestaltung</w:t>
      </w:r>
    </w:p>
    <w:p>
      <w:r>
        <w:rPr>
          <w:color w:val="555555"/>
          <w:sz w:val="18"/>
        </w:rPr>
        <w:t xml:space="preserve">Grundstücksverwertungsgesetz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Verträgen über langfristige Pachten oder den Verkauf landeseigener Grundstücke und die Vergabe grundstücksgleicher Rechte soll der jeweilige Nutzungszweck im Sinne des § 3 gegenüber dem Erwerber verbindlich und langfristig festgelegt werden.</w:t>
      </w:r>
    </w:p>
    <w:p>
      <w:r>
        <w:t xml:space="preserve">(2) Vor der Veräußerung land- und forstwirtschaftlicher sowie naturschutzrelevanter Flächen hat der Erwerber, Nutzer oder Erbbauberechtigte grundsätzlich ein Nutzungskonzept vorzulegen, welches mit den fachlich zuständigen Behörden abzustimmen und zum Bestandteil des Kaufvertrages zu machen ist.</w:t>
      </w:r>
    </w:p>
    <w:p>
      <w:r>
        <w:rPr>
          <w:color w:val="555555"/>
          <w:sz w:val="17"/>
        </w:rPr>
        <w:t xml:space="preserve">Zitiervorschlag: § 5 LGVG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https://recht.nulegal.eu/gesetze/LGVG/5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